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
        <w:numPr>
          <w:ilvl w:val="0"/>
          <w:numId w:val="2"/>
        </w:numPr>
        <w:shd w:fill="FFFFFF" w:val="clear"/>
        <w:spacing w:after="200" w:before="200"/>
        <w:jc w:val="center"/>
      </w:pPr>
      <w:r>
        <w:rPr>
          <w:color w:val="000000"/>
          <w:sz w:val="24"/>
          <w:szCs w:val="24"/>
        </w:rPr>
        <w:t>Matematický ústav SAV z pohľadu zákona č. 211/2000 Z.z.</w:t>
        <w:br/>
        <w:t>o slobodnom prístupe k informáciám</w:t>
      </w:r>
    </w:p>
    <w:p>
      <w:pPr>
        <w:pStyle w:val="style57"/>
        <w:jc w:val="both"/>
      </w:pPr>
      <w:r>
        <w:rPr>
          <w:color w:val="000000"/>
          <w:sz w:val="20"/>
          <w:szCs w:val="20"/>
        </w:rPr>
        <w:t>Podmienky, postup a rozsah slobodného prístupu občanov k informáciám vymedzeného v čl. 26, 45 a 34 Ústavy Slovenskej republiky a v čl. 17, 25 a 35 Listiny základných práv a slobôd ustanovuje zákon č. 211/2000 Z. z. o slobodnom prístupe k informáciám spolu s jeho novelizáciami platnými od</w:t>
      </w:r>
      <w:r>
        <w:rPr>
          <w:rFonts w:cs="Tahoma"/>
          <w:color w:val="000000"/>
          <w:sz w:val="20"/>
          <w:szCs w:val="20"/>
        </w:rPr>
        <w:t xml:space="preserve"> 2. januára 2006 v podobe zákona  č. 628/2005 Z. z., ktorým sa mení a dopĺňa zákon č. 211/2000 Z. z. o slobodnom prístupe k informáciám v znení zákona č. 747/2004 Z. z.</w:t>
      </w:r>
      <w:r>
        <w:rPr>
          <w:color w:val="000000"/>
          <w:sz w:val="20"/>
          <w:szCs w:val="20"/>
        </w:rPr>
        <w:t xml:space="preserve"> a o zmene niektorých zákonov. V tomto zákone je uvedený rozsah povinností tzv. povinnej osoby (§ 2 citovaného zákona) pri informovaní žiadateľov o informácie (§ 4 citovaného zákona), ale i postup pri poskytovaní informácií podľa tohto zákona. </w:t>
      </w:r>
    </w:p>
    <w:p>
      <w:pPr>
        <w:pStyle w:val="style57"/>
        <w:jc w:val="both"/>
      </w:pPr>
      <w:r>
        <w:rPr>
          <w:color w:val="000000"/>
          <w:sz w:val="20"/>
          <w:szCs w:val="20"/>
        </w:rPr>
        <w:t xml:space="preserve">V zmysle zákona č. 211/2000 Z. z. je Matematický ústav SAV  povinný zverejňovať informácie uvedené v § 3 ods. 2 a § 5 ods. 1 citovaného zákona (povinné zverejňovanie informácií) a ďalšie informácie na žiadosť. </w:t>
      </w:r>
    </w:p>
    <w:p>
      <w:pPr>
        <w:pStyle w:val="style57"/>
        <w:spacing w:after="240" w:before="0"/>
      </w:pPr>
      <w:r>
        <w:rPr>
          <w:color w:val="000000"/>
          <w:sz w:val="20"/>
          <w:szCs w:val="20"/>
        </w:rPr>
        <w:t>V zmysle citovaného zákona uverejňuje  Matematický ústav SAV tieto informácie:</w:t>
      </w:r>
    </w:p>
    <w:p>
      <w:pPr>
        <w:pStyle w:val="style57"/>
      </w:pPr>
      <w:r>
        <w:rPr>
          <w:b/>
          <w:bCs/>
          <w:color w:val="000000"/>
          <w:sz w:val="20"/>
          <w:szCs w:val="20"/>
        </w:rPr>
        <w:t>Spôsob zriadenia povinnej osoby, jej právomoci a kompetencie a popis organizačnej štruktúry</w:t>
      </w:r>
      <w:r>
        <w:rPr>
          <w:color w:val="000000"/>
          <w:sz w:val="20"/>
          <w:szCs w:val="20"/>
        </w:rPr>
        <w:t xml:space="preserve"> </w:t>
      </w:r>
    </w:p>
    <w:p>
      <w:pPr>
        <w:pStyle w:val="style57"/>
      </w:pPr>
      <w:r>
        <w:rPr>
          <w:color w:val="000000"/>
          <w:sz w:val="20"/>
          <w:szCs w:val="20"/>
        </w:rPr>
        <w:t xml:space="preserve">Matematický ústav SAV (ďalej len MÚ SAV) je právnickou osobou zriadenou na základe zákona č. 74/1963 Zb. o Slovenskej akadémii vied v znení </w:t>
      </w:r>
    </w:p>
    <w:p>
      <w:pPr>
        <w:pStyle w:val="style0"/>
        <w:numPr>
          <w:ilvl w:val="0"/>
          <w:numId w:val="5"/>
        </w:numPr>
        <w:spacing w:after="0" w:before="280"/>
      </w:pPr>
      <w:r>
        <w:rPr>
          <w:rFonts w:ascii="Tahoma" w:cs="Tahoma" w:hAnsi="Tahoma"/>
          <w:color w:val="000000"/>
          <w:sz w:val="20"/>
          <w:szCs w:val="20"/>
        </w:rPr>
        <w:t xml:space="preserve">zákona č. 43/1970 Zb., </w:t>
      </w:r>
    </w:p>
    <w:p>
      <w:pPr>
        <w:pStyle w:val="style0"/>
        <w:numPr>
          <w:ilvl w:val="0"/>
          <w:numId w:val="5"/>
        </w:numPr>
        <w:spacing w:after="0" w:before="0"/>
      </w:pPr>
      <w:r>
        <w:rPr>
          <w:rFonts w:ascii="Tahoma" w:cs="Tahoma" w:hAnsi="Tahoma"/>
          <w:color w:val="000000"/>
          <w:sz w:val="20"/>
          <w:szCs w:val="20"/>
        </w:rPr>
        <w:t xml:space="preserve">zákona č. 92/1977 Zb., </w:t>
      </w:r>
    </w:p>
    <w:p>
      <w:pPr>
        <w:pStyle w:val="style0"/>
        <w:numPr>
          <w:ilvl w:val="0"/>
          <w:numId w:val="5"/>
        </w:numPr>
        <w:spacing w:after="0" w:before="0"/>
      </w:pPr>
      <w:r>
        <w:rPr>
          <w:rFonts w:ascii="Tahoma" w:cs="Tahoma" w:hAnsi="Tahoma"/>
          <w:color w:val="000000"/>
          <w:sz w:val="20"/>
          <w:szCs w:val="20"/>
        </w:rPr>
        <w:t xml:space="preserve">zákona č. 7/1990 Zb., </w:t>
      </w:r>
    </w:p>
    <w:p>
      <w:pPr>
        <w:pStyle w:val="style0"/>
        <w:numPr>
          <w:ilvl w:val="0"/>
          <w:numId w:val="5"/>
        </w:numPr>
        <w:spacing w:after="0" w:before="0"/>
      </w:pPr>
      <w:r>
        <w:rPr>
          <w:rFonts w:ascii="Tahoma" w:cs="Tahoma" w:hAnsi="Tahoma"/>
          <w:color w:val="000000"/>
          <w:sz w:val="20"/>
          <w:szCs w:val="20"/>
        </w:rPr>
        <w:t xml:space="preserve">zákona č. 291/1992 Zb., </w:t>
      </w:r>
    </w:p>
    <w:p>
      <w:pPr>
        <w:pStyle w:val="style0"/>
        <w:numPr>
          <w:ilvl w:val="0"/>
          <w:numId w:val="5"/>
        </w:numPr>
        <w:spacing w:after="0" w:before="0"/>
      </w:pPr>
      <w:r>
        <w:rPr>
          <w:rFonts w:ascii="Tahoma" w:cs="Tahoma" w:hAnsi="Tahoma"/>
          <w:color w:val="000000"/>
          <w:sz w:val="20"/>
          <w:szCs w:val="20"/>
        </w:rPr>
        <w:t xml:space="preserve">zákona č. 11/1993 Z.z., </w:t>
      </w:r>
    </w:p>
    <w:p>
      <w:pPr>
        <w:pStyle w:val="style0"/>
        <w:numPr>
          <w:ilvl w:val="0"/>
          <w:numId w:val="5"/>
        </w:numPr>
        <w:spacing w:after="280" w:before="0"/>
      </w:pPr>
      <w:r>
        <w:rPr>
          <w:rFonts w:ascii="Tahoma" w:cs="Tahoma" w:hAnsi="Tahoma"/>
          <w:color w:val="000000"/>
          <w:sz w:val="20"/>
          <w:szCs w:val="20"/>
        </w:rPr>
        <w:t xml:space="preserve">zákona č. 75/1995 Z.z. </w:t>
      </w:r>
    </w:p>
    <w:tbl>
      <w:tblPr>
        <w:jc w:val="left"/>
        <w:tblInd w:type="dxa" w:w="-108"/>
        <w:tblBorders>
          <w:top w:color="000001" w:space="0" w:sz="2" w:val="single"/>
          <w:left w:color="000001" w:space="0" w:sz="2" w:val="single"/>
        </w:tblBorders>
      </w:tblPr>
      <w:tblGrid>
        <w:gridCol w:w="3914"/>
        <w:gridCol w:w="5156"/>
      </w:tblGrid>
      <w:tr>
        <w:trPr>
          <w:cantSplit w:val="false"/>
        </w:trPr>
        <w:tc>
          <w:tcPr>
            <w:tcW w:type="dxa" w:w="3914"/>
            <w:tcBorders>
              <w:top w:color="000001" w:space="0" w:sz="2" w:val="single"/>
              <w:left w:color="000001" w:space="0" w:sz="2" w:val="single"/>
            </w:tcBorders>
            <w:shd w:fill="FFFFFF" w:val="clear"/>
            <w:tcMar>
              <w:top w:type="dxa" w:w="0"/>
              <w:left w:type="dxa" w:w="108"/>
              <w:bottom w:type="dxa" w:w="0"/>
              <w:right w:type="dxa" w:w="108"/>
            </w:tcMar>
          </w:tcPr>
          <w:p>
            <w:pPr>
              <w:pStyle w:val="style57"/>
              <w:spacing w:after="80" w:before="0"/>
            </w:pPr>
            <w:r>
              <w:rPr>
                <w:b/>
                <w:color w:val="000000"/>
                <w:sz w:val="20"/>
                <w:szCs w:val="20"/>
              </w:rPr>
              <w:t>Názov organizácie:</w:t>
            </w:r>
          </w:p>
        </w:tc>
        <w:tc>
          <w:tcPr>
            <w:tcW w:type="dxa" w:w="5156"/>
            <w:tcBorders>
              <w:top w:color="000001" w:space="0" w:sz="2" w:val="single"/>
              <w:right w:color="000001" w:space="0" w:sz="2" w:val="single"/>
            </w:tcBorders>
            <w:shd w:fill="FFFFFF" w:val="clear"/>
            <w:tcMar>
              <w:top w:type="dxa" w:w="0"/>
              <w:left w:type="dxa" w:w="108"/>
              <w:bottom w:type="dxa" w:w="0"/>
              <w:right w:type="dxa" w:w="108"/>
            </w:tcMar>
          </w:tcPr>
          <w:p>
            <w:pPr>
              <w:pStyle w:val="style57"/>
              <w:spacing w:after="80" w:before="0"/>
            </w:pPr>
            <w:r>
              <w:rPr>
                <w:color w:val="000000"/>
                <w:sz w:val="20"/>
                <w:szCs w:val="20"/>
              </w:rPr>
              <w:t>Matematický ústav SAV</w:t>
            </w:r>
          </w:p>
        </w:tc>
      </w:tr>
      <w:tr>
        <w:trPr>
          <w:cantSplit w:val="false"/>
        </w:trPr>
        <w:tc>
          <w:tcPr>
            <w:tcW w:type="dxa" w:w="3914"/>
            <w:tcBorders>
              <w:left w:color="000001" w:space="0" w:sz="2" w:val="single"/>
            </w:tcBorders>
            <w:shd w:fill="FFFFFF" w:val="clear"/>
            <w:tcMar>
              <w:top w:type="dxa" w:w="0"/>
              <w:left w:type="dxa" w:w="108"/>
              <w:bottom w:type="dxa" w:w="0"/>
              <w:right w:type="dxa" w:w="108"/>
            </w:tcMar>
          </w:tcPr>
          <w:p>
            <w:pPr>
              <w:pStyle w:val="style57"/>
              <w:spacing w:after="80" w:before="0"/>
            </w:pPr>
            <w:r>
              <w:rPr>
                <w:b/>
                <w:color w:val="000000"/>
                <w:sz w:val="20"/>
                <w:szCs w:val="20"/>
              </w:rPr>
              <w:t>Sídlo MÚ SAV:</w:t>
            </w:r>
          </w:p>
        </w:tc>
        <w:tc>
          <w:tcPr>
            <w:tcW w:type="dxa" w:w="5156"/>
            <w:tcBorders>
              <w:right w:color="000001" w:space="0" w:sz="2" w:val="single"/>
            </w:tcBorders>
            <w:shd w:fill="FFFFFF" w:val="clear"/>
            <w:tcMar>
              <w:top w:type="dxa" w:w="0"/>
              <w:left w:type="dxa" w:w="108"/>
              <w:bottom w:type="dxa" w:w="0"/>
              <w:right w:type="dxa" w:w="108"/>
            </w:tcMar>
          </w:tcPr>
          <w:p>
            <w:pPr>
              <w:pStyle w:val="style57"/>
              <w:spacing w:after="80" w:before="0"/>
            </w:pPr>
            <w:r>
              <w:rPr>
                <w:color w:val="000000"/>
                <w:sz w:val="20"/>
                <w:szCs w:val="20"/>
              </w:rPr>
              <w:t>Bratislava, Štefánikova 49, 814 73 Bratislava</w:t>
            </w:r>
          </w:p>
        </w:tc>
      </w:tr>
      <w:tr>
        <w:trPr>
          <w:cantSplit w:val="false"/>
        </w:trPr>
        <w:tc>
          <w:tcPr>
            <w:tcW w:type="dxa" w:w="3914"/>
            <w:tcBorders>
              <w:left w:color="000001" w:space="0" w:sz="2" w:val="single"/>
            </w:tcBorders>
            <w:shd w:fill="FFFFFF" w:val="clear"/>
            <w:tcMar>
              <w:top w:type="dxa" w:w="0"/>
              <w:left w:type="dxa" w:w="108"/>
              <w:bottom w:type="dxa" w:w="0"/>
              <w:right w:type="dxa" w:w="108"/>
            </w:tcMar>
          </w:tcPr>
          <w:p>
            <w:pPr>
              <w:pStyle w:val="style57"/>
              <w:spacing w:after="80" w:before="0"/>
            </w:pPr>
            <w:r>
              <w:rPr>
                <w:b/>
                <w:color w:val="000000"/>
                <w:sz w:val="20"/>
                <w:szCs w:val="20"/>
              </w:rPr>
              <w:t>Identifikačné číslo:</w:t>
            </w:r>
          </w:p>
        </w:tc>
        <w:tc>
          <w:tcPr>
            <w:tcW w:type="dxa" w:w="5156"/>
            <w:tcBorders>
              <w:right w:color="000001" w:space="0" w:sz="2" w:val="single"/>
            </w:tcBorders>
            <w:shd w:fill="FFFFFF" w:val="clear"/>
            <w:tcMar>
              <w:top w:type="dxa" w:w="0"/>
              <w:left w:type="dxa" w:w="108"/>
              <w:bottom w:type="dxa" w:w="0"/>
              <w:right w:type="dxa" w:w="108"/>
            </w:tcMar>
          </w:tcPr>
          <w:p>
            <w:pPr>
              <w:pStyle w:val="style57"/>
              <w:spacing w:after="80" w:before="0"/>
            </w:pPr>
            <w:r>
              <w:rPr>
                <w:color w:val="000000"/>
                <w:sz w:val="20"/>
                <w:szCs w:val="20"/>
              </w:rPr>
              <w:t>166791</w:t>
            </w:r>
          </w:p>
        </w:tc>
      </w:tr>
      <w:tr>
        <w:trPr>
          <w:cantSplit w:val="false"/>
        </w:trPr>
        <w:tc>
          <w:tcPr>
            <w:tcW w:type="dxa" w:w="3914"/>
            <w:tcBorders>
              <w:left w:color="000001" w:space="0" w:sz="2" w:val="single"/>
            </w:tcBorders>
            <w:shd w:fill="FFFFFF" w:val="clear"/>
            <w:tcMar>
              <w:top w:type="dxa" w:w="0"/>
              <w:left w:type="dxa" w:w="108"/>
              <w:bottom w:type="dxa" w:w="0"/>
              <w:right w:type="dxa" w:w="108"/>
            </w:tcMar>
          </w:tcPr>
          <w:p>
            <w:pPr>
              <w:pStyle w:val="style57"/>
              <w:spacing w:after="80" w:before="0"/>
            </w:pPr>
            <w:r>
              <w:rPr>
                <w:b/>
                <w:color w:val="000000"/>
                <w:sz w:val="20"/>
                <w:szCs w:val="20"/>
              </w:rPr>
              <w:t>Forma hospodárenia:</w:t>
            </w:r>
          </w:p>
        </w:tc>
        <w:tc>
          <w:tcPr>
            <w:tcW w:type="dxa" w:w="5156"/>
            <w:tcBorders>
              <w:right w:color="000001" w:space="0" w:sz="2" w:val="single"/>
            </w:tcBorders>
            <w:shd w:fill="FFFFFF" w:val="clear"/>
            <w:tcMar>
              <w:top w:type="dxa" w:w="0"/>
              <w:left w:type="dxa" w:w="108"/>
              <w:bottom w:type="dxa" w:w="0"/>
              <w:right w:type="dxa" w:w="108"/>
            </w:tcMar>
          </w:tcPr>
          <w:p>
            <w:pPr>
              <w:pStyle w:val="style57"/>
              <w:spacing w:after="80" w:before="0"/>
            </w:pPr>
            <w:r>
              <w:rPr>
                <w:color w:val="000000"/>
                <w:sz w:val="20"/>
                <w:szCs w:val="20"/>
              </w:rPr>
              <w:t>rozpočtová organizácia</w:t>
            </w:r>
          </w:p>
        </w:tc>
      </w:tr>
      <w:tr>
        <w:trPr>
          <w:cantSplit w:val="false"/>
        </w:trPr>
        <w:tc>
          <w:tcPr>
            <w:tcW w:type="dxa" w:w="3914"/>
            <w:tcBorders>
              <w:left w:color="000001" w:space="0" w:sz="2" w:val="single"/>
            </w:tcBorders>
            <w:shd w:fill="FFFFFF" w:val="clear"/>
            <w:tcMar>
              <w:top w:type="dxa" w:w="0"/>
              <w:left w:type="dxa" w:w="108"/>
              <w:bottom w:type="dxa" w:w="0"/>
              <w:right w:type="dxa" w:w="108"/>
            </w:tcMar>
          </w:tcPr>
          <w:p>
            <w:pPr>
              <w:pStyle w:val="style57"/>
              <w:spacing w:after="80" w:before="0"/>
            </w:pPr>
            <w:r>
              <w:rPr>
                <w:b/>
                <w:color w:val="000000"/>
                <w:sz w:val="20"/>
                <w:szCs w:val="20"/>
              </w:rPr>
              <w:t>Dátum zriadenia:</w:t>
            </w:r>
          </w:p>
        </w:tc>
        <w:tc>
          <w:tcPr>
            <w:tcW w:type="dxa" w:w="5156"/>
            <w:tcBorders>
              <w:right w:color="000001" w:space="0" w:sz="2" w:val="single"/>
            </w:tcBorders>
            <w:shd w:fill="FFFFFF" w:val="clear"/>
            <w:tcMar>
              <w:top w:type="dxa" w:w="0"/>
              <w:left w:type="dxa" w:w="108"/>
              <w:bottom w:type="dxa" w:w="0"/>
              <w:right w:type="dxa" w:w="108"/>
            </w:tcMar>
          </w:tcPr>
          <w:p>
            <w:pPr>
              <w:pStyle w:val="style57"/>
              <w:spacing w:after="80" w:before="0"/>
            </w:pPr>
            <w:r>
              <w:rPr>
                <w:color w:val="000000"/>
                <w:sz w:val="20"/>
                <w:szCs w:val="20"/>
              </w:rPr>
              <w:t>01.03.1959</w:t>
            </w:r>
          </w:p>
        </w:tc>
      </w:tr>
      <w:tr>
        <w:trPr>
          <w:cantSplit w:val="false"/>
        </w:trPr>
        <w:tc>
          <w:tcPr>
            <w:tcW w:type="dxa" w:w="3914"/>
            <w:tcBorders>
              <w:left w:color="000001" w:space="0" w:sz="2" w:val="single"/>
              <w:bottom w:color="000001" w:space="0" w:sz="2" w:val="single"/>
            </w:tcBorders>
            <w:shd w:fill="FFFFFF" w:val="clear"/>
            <w:tcMar>
              <w:top w:type="dxa" w:w="0"/>
              <w:left w:type="dxa" w:w="108"/>
              <w:bottom w:type="dxa" w:w="0"/>
              <w:right w:type="dxa" w:w="108"/>
            </w:tcMar>
          </w:tcPr>
          <w:p>
            <w:pPr>
              <w:pStyle w:val="style57"/>
              <w:spacing w:after="80" w:before="0"/>
            </w:pPr>
            <w:r>
              <w:rPr>
                <w:b/>
                <w:color w:val="000000"/>
                <w:sz w:val="20"/>
                <w:szCs w:val="20"/>
              </w:rPr>
              <w:t>Označenie štatutárneho orgánu:</w:t>
            </w:r>
          </w:p>
        </w:tc>
        <w:tc>
          <w:tcPr>
            <w:tcW w:type="dxa" w:w="5156"/>
            <w:tcBorders>
              <w:bottom w:color="000001" w:space="0" w:sz="2" w:val="single"/>
              <w:right w:color="000001" w:space="0" w:sz="2" w:val="single"/>
            </w:tcBorders>
            <w:shd w:fill="FFFFFF" w:val="clear"/>
            <w:tcMar>
              <w:top w:type="dxa" w:w="0"/>
              <w:left w:type="dxa" w:w="108"/>
              <w:bottom w:type="dxa" w:w="0"/>
              <w:right w:type="dxa" w:w="108"/>
            </w:tcMar>
          </w:tcPr>
          <w:p>
            <w:pPr>
              <w:pStyle w:val="style57"/>
              <w:spacing w:after="80" w:before="0"/>
            </w:pPr>
            <w:r>
              <w:rPr>
                <w:color w:val="000000"/>
                <w:sz w:val="20"/>
                <w:szCs w:val="20"/>
              </w:rPr>
              <w:t>riaditeľ</w:t>
            </w:r>
          </w:p>
        </w:tc>
      </w:tr>
    </w:tbl>
    <w:p>
      <w:pPr>
        <w:pStyle w:val="style57"/>
      </w:pPr>
      <w:r>
        <w:rPr/>
      </w:r>
    </w:p>
    <w:p>
      <w:pPr>
        <w:pStyle w:val="style57"/>
        <w:jc w:val="both"/>
      </w:pPr>
      <w:r>
        <w:rPr>
          <w:color w:val="000000"/>
          <w:sz w:val="20"/>
          <w:szCs w:val="20"/>
        </w:rPr>
        <w:t>MÚ SAV je vedecká inštitúcia SR prispievajúca k rozvoju základného výskumu v matematike (najmä logika a teória množín, teória čísel, algebraické a topologické štruktúry, kvantové štruktúry diskrétna matematika, reálna a funkcionálna analýza, dynamické systémy, pravdepodobnosť a matematické štatistika). V informatike sa zameriava na rozvoj teórie algoritmov a výpočtovej zložitosti a na teoretické aspekty formálnych jazykov, automatov a výpočtových systémov. Podieľa sa pedagogickom procese na vysokých školách. Ústav uskutočňuje doktorandské štúdium v zmysle platných právnych predpisov. Participuje na medzinárodnej vedecko-technickej spolupráci, spolupracuje vo výskume a vzdelávaní s vysokými školami a rezortnými výskumnými a vzdelávacími inštitúciami a právnickými osobami z oblasti výroby a služieb.</w:t>
      </w:r>
    </w:p>
    <w:p>
      <w:pPr>
        <w:pStyle w:val="style57"/>
        <w:jc w:val="both"/>
      </w:pPr>
      <w:r>
        <w:rPr>
          <w:color w:val="000000"/>
          <w:sz w:val="20"/>
          <w:szCs w:val="20"/>
        </w:rPr>
        <w:t>Ústav poskytuje poradenské a ďalšie expertízne služby, súvisiace s hlavnou činnosťou organizácie.</w:t>
      </w:r>
    </w:p>
    <w:p>
      <w:pPr>
        <w:pStyle w:val="style57"/>
        <w:jc w:val="both"/>
      </w:pPr>
      <w:r>
        <w:rPr>
          <w:color w:val="000000"/>
          <w:sz w:val="20"/>
          <w:szCs w:val="20"/>
        </w:rPr>
        <w:t xml:space="preserve">Ústav zabezpečuje publikáciu súvisiacich s vedecko–výskumnou činnosťou prostredníctvom periodickej a neperiodickej tlače. Vydávanie periodickej tlače sa riadi usmerneniami Predsedníctva SAV. </w:t>
      </w:r>
    </w:p>
    <w:p>
      <w:pPr>
        <w:pStyle w:val="style57"/>
        <w:jc w:val="both"/>
      </w:pPr>
      <w:r>
        <w:rPr/>
      </w:r>
    </w:p>
    <w:p>
      <w:pPr>
        <w:pStyle w:val="style57"/>
      </w:pPr>
      <w:r>
        <w:rPr>
          <w:b/>
          <w:color w:val="000000"/>
          <w:sz w:val="20"/>
          <w:szCs w:val="20"/>
        </w:rPr>
        <w:t>Organizačná štruktúra MÚ SAV:</w:t>
      </w:r>
    </w:p>
    <w:p>
      <w:pPr>
        <w:pStyle w:val="style57"/>
        <w:numPr>
          <w:ilvl w:val="0"/>
          <w:numId w:val="6"/>
        </w:numPr>
      </w:pPr>
      <w:r>
        <w:rPr>
          <w:color w:val="000000"/>
          <w:sz w:val="20"/>
          <w:szCs w:val="20"/>
        </w:rPr>
        <w:t xml:space="preserve">Matematický ústav SAV, Štefánikova 49, 814 73 Bratislava </w:t>
      </w:r>
    </w:p>
    <w:p>
      <w:pPr>
        <w:pStyle w:val="style57"/>
        <w:numPr>
          <w:ilvl w:val="0"/>
          <w:numId w:val="6"/>
        </w:numPr>
      </w:pPr>
      <w:r>
        <w:rPr>
          <w:color w:val="000000"/>
          <w:sz w:val="20"/>
          <w:szCs w:val="20"/>
        </w:rPr>
        <w:t>Oddelenie informatiky MÚ SAV, Dúbravská cesta 9, 841 04 Bratislava</w:t>
      </w:r>
    </w:p>
    <w:p>
      <w:pPr>
        <w:pStyle w:val="style57"/>
        <w:numPr>
          <w:ilvl w:val="0"/>
          <w:numId w:val="6"/>
        </w:numPr>
      </w:pPr>
      <w:r>
        <w:rPr>
          <w:color w:val="000000"/>
          <w:sz w:val="20"/>
          <w:szCs w:val="20"/>
        </w:rPr>
        <w:t>Detašované pracovisko MÚ SAV, Grešákova 6, 040 01 Košice</w:t>
      </w:r>
    </w:p>
    <w:p>
      <w:pPr>
        <w:pStyle w:val="style57"/>
        <w:numPr>
          <w:ilvl w:val="0"/>
          <w:numId w:val="6"/>
        </w:numPr>
      </w:pPr>
      <w:r>
        <w:rPr>
          <w:color w:val="000000"/>
          <w:sz w:val="20"/>
          <w:szCs w:val="20"/>
        </w:rPr>
        <w:t>Inštitút matematiky a informatiky MÚ SAV a UMB, Ďumbierska 1, 974 11 Banská Bystrica</w:t>
      </w:r>
    </w:p>
    <w:p>
      <w:pPr>
        <w:pStyle w:val="style57"/>
      </w:pPr>
      <w:r>
        <w:rPr>
          <w:b/>
          <w:color w:val="000000"/>
          <w:sz w:val="20"/>
          <w:szCs w:val="20"/>
        </w:rPr>
        <w:t>Orgány MÚ SAV:</w:t>
      </w:r>
    </w:p>
    <w:p>
      <w:pPr>
        <w:pStyle w:val="style57"/>
        <w:numPr>
          <w:ilvl w:val="0"/>
          <w:numId w:val="7"/>
        </w:numPr>
      </w:pPr>
      <w:r>
        <w:rPr>
          <w:color w:val="000000"/>
          <w:sz w:val="20"/>
          <w:szCs w:val="20"/>
        </w:rPr>
        <w:t>Vedecká rada MÚ SAV</w:t>
      </w:r>
    </w:p>
    <w:p>
      <w:pPr>
        <w:pStyle w:val="style57"/>
        <w:numPr>
          <w:ilvl w:val="0"/>
          <w:numId w:val="7"/>
        </w:numPr>
      </w:pPr>
      <w:r>
        <w:rPr>
          <w:color w:val="000000"/>
          <w:sz w:val="20"/>
          <w:szCs w:val="20"/>
        </w:rPr>
        <w:t>rada riaditeľa MÚ SAV.</w:t>
      </w:r>
    </w:p>
    <w:p>
      <w:pPr>
        <w:pStyle w:val="style57"/>
        <w:ind w:hanging="360" w:left="0" w:right="0"/>
      </w:pPr>
      <w:r>
        <w:rPr>
          <w:color w:val="000000"/>
          <w:sz w:val="20"/>
          <w:szCs w:val="20"/>
        </w:rPr>
        <w:t>Činnosť ústavu sa riadi Organizačným poriadkom MÚ SAV a Pracovným poriadkom MÚ SAV.</w:t>
      </w:r>
    </w:p>
    <w:p>
      <w:pPr>
        <w:pStyle w:val="style57"/>
        <w:jc w:val="both"/>
      </w:pPr>
      <w:r>
        <w:rPr>
          <w:b/>
          <w:color w:val="000000"/>
          <w:sz w:val="20"/>
          <w:szCs w:val="20"/>
        </w:rPr>
        <w:t>Financovanie MÚ SAV:</w:t>
      </w:r>
    </w:p>
    <w:p>
      <w:pPr>
        <w:pStyle w:val="style57"/>
        <w:jc w:val="both"/>
      </w:pPr>
      <w:r>
        <w:rPr>
          <w:color w:val="000000"/>
          <w:sz w:val="20"/>
          <w:szCs w:val="20"/>
        </w:rPr>
        <w:t xml:space="preserve">MÚ SAV je financovaný z rozpočtovej kapitoly štátneho rozpočtu, ktorej správcom je SAV.  Práva a povinnosti MÚ SAV pri správe a nakladaní s majetkom štátu sú stanovené zákonom č. 278/1993 Z.z. o správe majetku štátu v znení neskorších predpisov. MÚ SAV hospodári s rozpočtovými prostriedkami a s prostriedkami prijatými od iných subjektov v zmysle zákona č. 303/1995 Z.z. v znení neskorších predpisov. </w:t>
      </w:r>
    </w:p>
    <w:p>
      <w:pPr>
        <w:pStyle w:val="style57"/>
        <w:jc w:val="both"/>
      </w:pPr>
      <w:r>
        <w:rPr>
          <w:color w:val="000000"/>
          <w:sz w:val="20"/>
          <w:szCs w:val="20"/>
        </w:rPr>
        <w:t>Ďalšími zdrojmi financovania pracoviska sú</w:t>
      </w:r>
    </w:p>
    <w:p>
      <w:pPr>
        <w:pStyle w:val="style57"/>
        <w:numPr>
          <w:ilvl w:val="0"/>
          <w:numId w:val="8"/>
        </w:numPr>
        <w:jc w:val="both"/>
      </w:pPr>
      <w:r>
        <w:rPr>
          <w:rFonts w:cs="Tahoma"/>
          <w:color w:val="000000"/>
          <w:sz w:val="20"/>
          <w:szCs w:val="20"/>
        </w:rPr>
        <w:t>prostriedky štátneho rozpočtu získané na základe účasti vo verejnej súťaži vypísanej na účelové financovanie úloh výskumu a vývoja</w:t>
      </w:r>
    </w:p>
    <w:p>
      <w:pPr>
        <w:pStyle w:val="style57"/>
        <w:numPr>
          <w:ilvl w:val="0"/>
          <w:numId w:val="8"/>
        </w:numPr>
        <w:jc w:val="both"/>
      </w:pPr>
      <w:r>
        <w:rPr>
          <w:rFonts w:cs="Tahoma"/>
          <w:color w:val="000000"/>
          <w:sz w:val="20"/>
          <w:szCs w:val="20"/>
        </w:rPr>
        <w:t>príjmy z vlastnej činnosti</w:t>
      </w:r>
    </w:p>
    <w:p>
      <w:pPr>
        <w:pStyle w:val="style57"/>
        <w:numPr>
          <w:ilvl w:val="0"/>
          <w:numId w:val="8"/>
        </w:numPr>
        <w:jc w:val="both"/>
      </w:pPr>
      <w:r>
        <w:rPr>
          <w:rFonts w:cs="Tahoma"/>
          <w:color w:val="000000"/>
          <w:sz w:val="20"/>
          <w:szCs w:val="20"/>
        </w:rPr>
        <w:t xml:space="preserve">prostriedky z medzinárodných programov výskumu a vývoja </w:t>
      </w:r>
    </w:p>
    <w:p>
      <w:pPr>
        <w:pStyle w:val="style57"/>
      </w:pPr>
      <w:r>
        <w:rPr>
          <w:b/>
          <w:color w:val="000000"/>
          <w:sz w:val="20"/>
          <w:szCs w:val="20"/>
        </w:rPr>
        <w:t>Organizačná štruktúra ústavu</w:t>
      </w:r>
      <w:r>
        <w:rPr>
          <w:color w:val="000000"/>
          <w:sz w:val="20"/>
          <w:szCs w:val="20"/>
        </w:rPr>
        <w:t xml:space="preserve">: na internetovej stránke </w:t>
      </w:r>
      <w:hyperlink r:id="rId2">
        <w:r>
          <w:rPr>
            <w:rStyle w:val="style43"/>
            <w:rStyle w:val="style40"/>
            <w:sz w:val="20"/>
            <w:szCs w:val="20"/>
          </w:rPr>
          <w:t>www.mat.savba.sk/struktura.php</w:t>
        </w:r>
      </w:hyperlink>
      <w:r>
        <w:rPr>
          <w:color w:val="000000"/>
          <w:sz w:val="20"/>
          <w:szCs w:val="20"/>
        </w:rPr>
        <w:t xml:space="preserve"> </w:t>
      </w:r>
    </w:p>
    <w:p>
      <w:pPr>
        <w:pStyle w:val="style57"/>
      </w:pPr>
      <w:r>
        <w:rPr/>
      </w:r>
    </w:p>
    <w:p>
      <w:pPr>
        <w:pStyle w:val="style57"/>
      </w:pPr>
      <w:r>
        <w:rPr>
          <w:b/>
          <w:bCs/>
          <w:color w:val="000000"/>
          <w:sz w:val="20"/>
          <w:szCs w:val="20"/>
        </w:rPr>
        <w:t>MÚ SAV je povinné zverejňovať aj</w:t>
      </w:r>
    </w:p>
    <w:p>
      <w:pPr>
        <w:pStyle w:val="style0"/>
        <w:numPr>
          <w:ilvl w:val="0"/>
          <w:numId w:val="3"/>
        </w:numPr>
        <w:ind w:hanging="360" w:left="720" w:right="0"/>
        <w:jc w:val="both"/>
      </w:pPr>
      <w:r>
        <w:rPr>
          <w:rFonts w:ascii="Tahoma" w:cs="Tahoma" w:hAnsi="Tahoma"/>
          <w:sz w:val="20"/>
          <w:szCs w:val="20"/>
        </w:rPr>
        <w:t xml:space="preserve">označenie nehnuteľnej veci a hnuteľnej veci vo vlastníctve štátu, ktorej nadobúdacia cena bola vyššia ako 20-násobok minimálnej mzdy (§2 ods. 1 písm. b) zákona č. 90/1996 Z. z. o minimálnej mzde), ktorú MÚ SAV previedol do vlastníctva, alebo ktorá prešla do vlastníctva inej osoby než orgánu verejnej moci </w:t>
      </w:r>
    </w:p>
    <w:p>
      <w:pPr>
        <w:pStyle w:val="style0"/>
        <w:numPr>
          <w:ilvl w:val="0"/>
          <w:numId w:val="3"/>
        </w:numPr>
        <w:ind w:hanging="360" w:left="720" w:right="0"/>
        <w:jc w:val="both"/>
      </w:pPr>
      <w:r>
        <w:rPr>
          <w:rFonts w:ascii="Tahoma" w:cs="Tahoma" w:hAnsi="Tahoma"/>
          <w:sz w:val="20"/>
          <w:szCs w:val="20"/>
        </w:rPr>
        <w:t xml:space="preserve">dátum prevodu alebo prechodu vlastníctva a právny titul </w:t>
      </w:r>
    </w:p>
    <w:p>
      <w:pPr>
        <w:pStyle w:val="style0"/>
        <w:numPr>
          <w:ilvl w:val="0"/>
          <w:numId w:val="3"/>
        </w:numPr>
        <w:ind w:hanging="360" w:left="720" w:right="0"/>
        <w:jc w:val="both"/>
      </w:pPr>
      <w:r>
        <w:rPr>
          <w:rFonts w:ascii="Tahoma" w:cs="Tahoma" w:hAnsi="Tahoma"/>
          <w:sz w:val="20"/>
          <w:szCs w:val="20"/>
        </w:rPr>
        <w:t>informácie o osobných údajoch a iných identifikačných údajoch osôb, ktoré nadobudli tento majetok do vlastníctva, a to v rozsahu:</w:t>
      </w:r>
    </w:p>
    <w:p>
      <w:pPr>
        <w:pStyle w:val="style0"/>
        <w:numPr>
          <w:ilvl w:val="1"/>
          <w:numId w:val="4"/>
        </w:numPr>
        <w:jc w:val="both"/>
      </w:pPr>
      <w:r>
        <w:rPr>
          <w:rFonts w:ascii="Tahoma" w:cs="Tahoma" w:hAnsi="Tahoma"/>
          <w:sz w:val="20"/>
          <w:szCs w:val="20"/>
        </w:rPr>
        <w:t>meno a priezvisko, názov alebo obchodné meno,</w:t>
      </w:r>
    </w:p>
    <w:p>
      <w:pPr>
        <w:pStyle w:val="style0"/>
        <w:numPr>
          <w:ilvl w:val="1"/>
          <w:numId w:val="4"/>
        </w:numPr>
        <w:jc w:val="both"/>
      </w:pPr>
      <w:r>
        <w:rPr>
          <w:rFonts w:ascii="Tahoma" w:cs="Tahoma" w:hAnsi="Tahoma"/>
          <w:sz w:val="20"/>
          <w:szCs w:val="20"/>
        </w:rPr>
        <w:t>adresa pobytu alebo sídlo,</w:t>
      </w:r>
    </w:p>
    <w:p>
      <w:pPr>
        <w:pStyle w:val="style0"/>
        <w:numPr>
          <w:ilvl w:val="1"/>
          <w:numId w:val="4"/>
        </w:numPr>
        <w:jc w:val="both"/>
      </w:pPr>
      <w:r>
        <w:rPr>
          <w:rFonts w:ascii="Tahoma" w:cs="Tahoma" w:hAnsi="Tahoma"/>
          <w:sz w:val="20"/>
          <w:szCs w:val="20"/>
        </w:rPr>
        <w:t>identifikačné číslo, ak ide o právnickú osobu alebo fyzickú osobu – podnikateľa</w:t>
      </w:r>
    </w:p>
    <w:p>
      <w:pPr>
        <w:pStyle w:val="style0"/>
        <w:ind w:firstLine="708" w:left="0" w:right="0"/>
        <w:jc w:val="both"/>
      </w:pPr>
      <w:r>
        <w:rPr/>
      </w:r>
    </w:p>
    <w:p>
      <w:pPr>
        <w:pStyle w:val="style0"/>
        <w:ind w:firstLine="15" w:left="0" w:right="0"/>
        <w:jc w:val="both"/>
      </w:pPr>
      <w:r>
        <w:rPr>
          <w:rFonts w:ascii="Tahoma" w:cs="Tahoma" w:hAnsi="Tahoma"/>
          <w:sz w:val="20"/>
          <w:szCs w:val="20"/>
        </w:rPr>
        <w:t>Za nadobúdaciu cenu na účely zverejnenia sa považujú, ak ide o vlastné zhotovenie, náklady na zhotovenie, a ak ide o bezodplatné nadobudnutie, cena obvyklá za obdobnú vec v mieste a čase nadobudnutia.</w:t>
      </w:r>
    </w:p>
    <w:p>
      <w:pPr>
        <w:pStyle w:val="style0"/>
        <w:jc w:val="both"/>
      </w:pPr>
      <w:r>
        <w:rPr/>
      </w:r>
    </w:p>
    <w:p>
      <w:pPr>
        <w:pStyle w:val="style0"/>
        <w:ind w:hanging="0" w:left="0" w:right="0"/>
        <w:jc w:val="both"/>
      </w:pPr>
      <w:r>
        <w:rPr>
          <w:rFonts w:ascii="Tahoma" w:cs="Tahoma" w:hAnsi="Tahoma"/>
          <w:sz w:val="20"/>
          <w:szCs w:val="20"/>
        </w:rPr>
        <w:t>Uvedené informácie sa zverejňujú najmenej po dobu jedného roka odo dňa, keď došlo k prevodu alebo prechodu vlastníctva.</w:t>
      </w:r>
    </w:p>
    <w:p>
      <w:pPr>
        <w:pStyle w:val="style0"/>
        <w:spacing w:after="0" w:before="57"/>
        <w:ind w:hanging="0" w:left="0" w:right="0"/>
        <w:jc w:val="both"/>
      </w:pPr>
      <w:r>
        <w:rPr>
          <w:rFonts w:ascii="Tahoma" w:cs="Tahoma" w:hAnsi="Tahoma"/>
          <w:color w:val="000000"/>
          <w:sz w:val="20"/>
          <w:szCs w:val="20"/>
        </w:rPr>
        <w:t>Tým nie je dotknutá povinnosť sprístupniť túto informáciu aj po uplynutí tejto doby.</w:t>
      </w:r>
    </w:p>
    <w:p>
      <w:pPr>
        <w:pStyle w:val="style0"/>
        <w:spacing w:after="0" w:before="57"/>
        <w:ind w:hanging="0" w:left="0" w:right="0"/>
        <w:jc w:val="both"/>
      </w:pPr>
      <w:r>
        <w:rPr/>
      </w:r>
    </w:p>
    <w:p>
      <w:pPr>
        <w:pStyle w:val="style57"/>
        <w:jc w:val="both"/>
      </w:pPr>
      <w:r>
        <w:rPr/>
      </w:r>
    </w:p>
    <w:p>
      <w:pPr>
        <w:pStyle w:val="style57"/>
        <w:pageBreakBefore/>
        <w:jc w:val="both"/>
      </w:pPr>
      <w:r>
        <w:rPr>
          <w:b/>
          <w:bCs/>
          <w:color w:val="000000"/>
          <w:sz w:val="20"/>
          <w:szCs w:val="20"/>
        </w:rPr>
        <w:t>Miesto, čas a spôsob akým možno získať informácie; informácie o tom, kde možno podať žiadosť, návrh, podnet, sťažnosť alebo iné podanie:</w:t>
      </w:r>
    </w:p>
    <w:p>
      <w:pPr>
        <w:pStyle w:val="style57"/>
        <w:numPr>
          <w:ilvl w:val="0"/>
          <w:numId w:val="9"/>
        </w:numPr>
      </w:pPr>
      <w:r>
        <w:rPr>
          <w:color w:val="000000"/>
          <w:sz w:val="20"/>
          <w:szCs w:val="20"/>
        </w:rPr>
        <w:t>Povinne zverejňované informácie možno získať na internetovej stránke www.mat.savba.sk (www.sav.sk), na informačnej tabuli MÚ SAV (Štefánikova 49, Bratislava)</w:t>
      </w:r>
    </w:p>
    <w:p>
      <w:pPr>
        <w:pStyle w:val="style57"/>
        <w:numPr>
          <w:ilvl w:val="0"/>
          <w:numId w:val="9"/>
        </w:numPr>
      </w:pPr>
      <w:r>
        <w:rPr>
          <w:color w:val="000000"/>
          <w:sz w:val="20"/>
          <w:szCs w:val="20"/>
        </w:rPr>
        <w:t>Nezverejnenú informáciu ústav sprístupní na základe žiadosti o sprístupnenie informácie (ďalej len „žiadosť”). Žiadosť môže žiadateľ podať písomne, ústne, faxom, elektronickou poštou alebo iným technicky vykonateľným spôsobom. Zo žiadosti musí byt zjavné, kto ju podáva, ktorých informácií sa týka a aký spôsob sprístupnenia informácie žiadateľ navrhuje.</w:t>
      </w:r>
    </w:p>
    <w:p>
      <w:pPr>
        <w:pStyle w:val="style57"/>
        <w:numPr>
          <w:ilvl w:val="0"/>
          <w:numId w:val="9"/>
        </w:numPr>
      </w:pPr>
      <w:r>
        <w:rPr>
          <w:color w:val="000000"/>
          <w:sz w:val="20"/>
          <w:szCs w:val="20"/>
        </w:rPr>
        <w:t>Informácia môže byť sprístupnená</w:t>
      </w:r>
    </w:p>
    <w:p>
      <w:pPr>
        <w:pStyle w:val="style57"/>
        <w:numPr>
          <w:ilvl w:val="1"/>
          <w:numId w:val="9"/>
        </w:numPr>
      </w:pPr>
      <w:r>
        <w:rPr>
          <w:rFonts w:cs="Tahoma"/>
          <w:color w:val="000000"/>
          <w:sz w:val="20"/>
          <w:szCs w:val="20"/>
        </w:rPr>
        <w:t xml:space="preserve"> </w:t>
      </w:r>
      <w:r>
        <w:rPr>
          <w:rFonts w:cs="Tahoma"/>
          <w:color w:val="000000"/>
          <w:sz w:val="20"/>
          <w:szCs w:val="20"/>
        </w:rPr>
        <w:t>ústne,</w:t>
      </w:r>
    </w:p>
    <w:p>
      <w:pPr>
        <w:pStyle w:val="style57"/>
        <w:numPr>
          <w:ilvl w:val="1"/>
          <w:numId w:val="9"/>
        </w:numPr>
      </w:pPr>
      <w:r>
        <w:rPr>
          <w:rFonts w:cs="Tahoma"/>
          <w:color w:val="000000"/>
          <w:sz w:val="20"/>
          <w:szCs w:val="20"/>
        </w:rPr>
        <w:t xml:space="preserve"> </w:t>
      </w:r>
      <w:r>
        <w:rPr>
          <w:rFonts w:cs="Tahoma"/>
          <w:color w:val="000000"/>
          <w:sz w:val="20"/>
          <w:szCs w:val="20"/>
        </w:rPr>
        <w:t>nahliadnutím do spisu s možnosťou vyhotoviť si odpis alebo výpis v sídle ústavu,</w:t>
      </w:r>
    </w:p>
    <w:p>
      <w:pPr>
        <w:pStyle w:val="style57"/>
        <w:numPr>
          <w:ilvl w:val="1"/>
          <w:numId w:val="9"/>
        </w:numPr>
      </w:pPr>
      <w:r>
        <w:rPr>
          <w:rFonts w:cs="Tahoma"/>
          <w:color w:val="000000"/>
          <w:sz w:val="20"/>
          <w:szCs w:val="20"/>
        </w:rPr>
        <w:t xml:space="preserve"> </w:t>
      </w:r>
      <w:r>
        <w:rPr>
          <w:rFonts w:cs="Tahoma"/>
          <w:color w:val="000000"/>
          <w:sz w:val="20"/>
          <w:szCs w:val="20"/>
        </w:rPr>
        <w:t>odkopírovaním informácií na technický nosič dát,</w:t>
      </w:r>
    </w:p>
    <w:p>
      <w:pPr>
        <w:pStyle w:val="style57"/>
        <w:numPr>
          <w:ilvl w:val="1"/>
          <w:numId w:val="9"/>
        </w:numPr>
      </w:pPr>
      <w:r>
        <w:rPr>
          <w:rFonts w:cs="Tahoma"/>
          <w:color w:val="000000"/>
          <w:sz w:val="20"/>
          <w:szCs w:val="20"/>
        </w:rPr>
        <w:t xml:space="preserve"> </w:t>
      </w:r>
      <w:r>
        <w:rPr>
          <w:rFonts w:cs="Tahoma"/>
          <w:color w:val="000000"/>
          <w:sz w:val="20"/>
          <w:szCs w:val="20"/>
        </w:rPr>
        <w:t>sprístupnením kópií predlôh s požadovanými informáciami,</w:t>
      </w:r>
    </w:p>
    <w:p>
      <w:pPr>
        <w:pStyle w:val="style57"/>
        <w:numPr>
          <w:ilvl w:val="1"/>
          <w:numId w:val="9"/>
        </w:numPr>
      </w:pPr>
      <w:r>
        <w:rPr>
          <w:rFonts w:cs="Tahoma"/>
          <w:color w:val="000000"/>
          <w:sz w:val="20"/>
          <w:szCs w:val="20"/>
        </w:rPr>
        <w:t xml:space="preserve"> </w:t>
      </w:r>
      <w:r>
        <w:rPr>
          <w:rFonts w:cs="Tahoma"/>
          <w:color w:val="000000"/>
          <w:sz w:val="20"/>
          <w:szCs w:val="20"/>
        </w:rPr>
        <w:t>telefonicky,</w:t>
      </w:r>
    </w:p>
    <w:p>
      <w:pPr>
        <w:pStyle w:val="style57"/>
        <w:numPr>
          <w:ilvl w:val="1"/>
          <w:numId w:val="9"/>
        </w:numPr>
      </w:pPr>
      <w:r>
        <w:rPr>
          <w:rFonts w:cs="Tahoma"/>
          <w:color w:val="000000"/>
          <w:sz w:val="20"/>
          <w:szCs w:val="20"/>
        </w:rPr>
        <w:t xml:space="preserve"> </w:t>
      </w:r>
      <w:r>
        <w:rPr>
          <w:rFonts w:cs="Tahoma"/>
          <w:color w:val="000000"/>
          <w:sz w:val="20"/>
          <w:szCs w:val="20"/>
        </w:rPr>
        <w:t>faxom,</w:t>
      </w:r>
    </w:p>
    <w:p>
      <w:pPr>
        <w:pStyle w:val="style57"/>
        <w:numPr>
          <w:ilvl w:val="1"/>
          <w:numId w:val="9"/>
        </w:numPr>
      </w:pPr>
      <w:r>
        <w:rPr>
          <w:rFonts w:cs="Tahoma"/>
          <w:color w:val="000000"/>
          <w:sz w:val="20"/>
          <w:szCs w:val="20"/>
        </w:rPr>
        <w:t xml:space="preserve"> </w:t>
      </w:r>
      <w:r>
        <w:rPr>
          <w:rFonts w:cs="Tahoma"/>
          <w:color w:val="000000"/>
          <w:sz w:val="20"/>
          <w:szCs w:val="20"/>
        </w:rPr>
        <w:t>poštou,</w:t>
      </w:r>
    </w:p>
    <w:p>
      <w:pPr>
        <w:pStyle w:val="style57"/>
        <w:numPr>
          <w:ilvl w:val="1"/>
          <w:numId w:val="9"/>
        </w:numPr>
      </w:pPr>
      <w:r>
        <w:rPr>
          <w:rFonts w:cs="Tahoma"/>
          <w:color w:val="000000"/>
          <w:sz w:val="20"/>
          <w:szCs w:val="20"/>
        </w:rPr>
        <w:t xml:space="preserve"> </w:t>
      </w:r>
      <w:r>
        <w:rPr>
          <w:rFonts w:cs="Tahoma"/>
          <w:color w:val="000000"/>
          <w:sz w:val="20"/>
          <w:szCs w:val="20"/>
        </w:rPr>
        <w:t>e-mailom,</w:t>
      </w:r>
    </w:p>
    <w:p>
      <w:pPr>
        <w:pStyle w:val="style57"/>
        <w:numPr>
          <w:ilvl w:val="1"/>
          <w:numId w:val="9"/>
        </w:numPr>
      </w:pPr>
      <w:r>
        <w:rPr>
          <w:rFonts w:cs="Tahoma"/>
          <w:color w:val="000000"/>
          <w:sz w:val="20"/>
          <w:szCs w:val="20"/>
        </w:rPr>
        <w:t xml:space="preserve"> </w:t>
      </w:r>
      <w:r>
        <w:rPr>
          <w:rFonts w:cs="Tahoma"/>
          <w:color w:val="000000"/>
          <w:sz w:val="20"/>
          <w:szCs w:val="20"/>
        </w:rPr>
        <w:t>odkazom na už zverejnenú informáciu.</w:t>
      </w:r>
    </w:p>
    <w:p>
      <w:pPr>
        <w:pStyle w:val="style57"/>
        <w:ind w:hanging="360" w:left="708" w:right="0"/>
      </w:pPr>
      <w:r>
        <w:rPr>
          <w:rFonts w:ascii="DejaVu Sans" w:hAnsi="DejaVu Sans"/>
          <w:color w:val="000000"/>
          <w:sz w:val="20"/>
          <w:szCs w:val="20"/>
        </w:rPr>
        <w:t>Informácia sa sprístupňuje formou určenou žiadateľom a až keď nie je možné ju sprístupniť touto formou, po dohode so žiadateľom nasledujú iné možnosti. Prihliada sa pritom na charakter informácie, spôsob podania žiadosti a tiež na technické možnosti ústavu.</w:t>
      </w:r>
    </w:p>
    <w:p>
      <w:pPr>
        <w:pStyle w:val="style57"/>
        <w:numPr>
          <w:ilvl w:val="0"/>
          <w:numId w:val="9"/>
        </w:numPr>
      </w:pPr>
      <w:r>
        <w:rPr>
          <w:color w:val="000000"/>
          <w:sz w:val="20"/>
          <w:szCs w:val="20"/>
        </w:rPr>
        <w:t>Na základe žiadosti musí ústavu sprístupniť všetky informácie, ktoré má k dispozícii, predovšetkým informácie týkajúce sa hospodárenia s verejnými prostriedkami a nakladania s majetkom štátu, pričom ústav musí prijať, zaevidovať a vybaviť každú žiadosť, návrh alebo iné podanie.</w:t>
      </w:r>
    </w:p>
    <w:p>
      <w:pPr>
        <w:pStyle w:val="style57"/>
        <w:numPr>
          <w:ilvl w:val="0"/>
          <w:numId w:val="9"/>
        </w:numPr>
      </w:pPr>
      <w:r>
        <w:rPr>
          <w:color w:val="000000"/>
          <w:sz w:val="20"/>
          <w:szCs w:val="20"/>
        </w:rPr>
        <w:t xml:space="preserve">Ústav žiadosť vybaví najneskôr do osem pracovných dní od jej podania, v odôvodnených prípadoch sa táto lehota predlžuje o ďalších 8 pracovných dní. Ak nie je možné dodržať osemdňovú lehotu, ústav to bezodkladne, najneskôr pred uplynutím osemdňovej lehoty oznámi žiadateľovi písomne s uvedením dôvodov, ktoré viedli k predĺženiu lehoty. </w:t>
      </w:r>
    </w:p>
    <w:p>
      <w:pPr>
        <w:pStyle w:val="style57"/>
        <w:numPr>
          <w:ilvl w:val="0"/>
          <w:numId w:val="9"/>
        </w:numPr>
      </w:pPr>
      <w:r>
        <w:rPr>
          <w:color w:val="000000"/>
          <w:sz w:val="20"/>
          <w:szCs w:val="20"/>
        </w:rPr>
        <w:t>Závažnými dôvodmi predĺženia lehoty, najviac o osem pracovných dní sú:</w:t>
      </w:r>
    </w:p>
    <w:p>
      <w:pPr>
        <w:pStyle w:val="style0"/>
        <w:numPr>
          <w:ilvl w:val="0"/>
          <w:numId w:val="10"/>
        </w:numPr>
        <w:spacing w:after="0" w:before="57"/>
        <w:ind w:hanging="360" w:left="1416" w:right="0"/>
      </w:pPr>
      <w:r>
        <w:rPr>
          <w:rFonts w:ascii="Tahoma" w:cs="Tahoma" w:hAnsi="Tahoma"/>
          <w:color w:val="000000"/>
          <w:sz w:val="20"/>
          <w:szCs w:val="20"/>
        </w:rPr>
        <w:t xml:space="preserve">vyhľadávanie a zber väčšieho počtu oddelených alebo odlišných informácií požadovaných na sprístupnenie v jednej žiadosti, </w:t>
      </w:r>
    </w:p>
    <w:p>
      <w:pPr>
        <w:pStyle w:val="style0"/>
        <w:numPr>
          <w:ilvl w:val="0"/>
          <w:numId w:val="10"/>
        </w:numPr>
        <w:spacing w:after="0" w:before="57"/>
        <w:ind w:hanging="360" w:left="1416" w:right="0"/>
      </w:pPr>
      <w:r>
        <w:rPr>
          <w:rFonts w:ascii="Tahoma" w:cs="Tahoma" w:hAnsi="Tahoma"/>
          <w:color w:val="000000"/>
          <w:sz w:val="20"/>
          <w:szCs w:val="20"/>
        </w:rPr>
        <w:t>vyhľadávanie a zber väčšieho počtu oddelených alebo odlišných informácií požadovaných na sprístupnenie žiadosti,</w:t>
      </w:r>
    </w:p>
    <w:p>
      <w:pPr>
        <w:pStyle w:val="style0"/>
        <w:numPr>
          <w:ilvl w:val="0"/>
          <w:numId w:val="10"/>
        </w:numPr>
        <w:spacing w:after="57" w:before="0"/>
        <w:ind w:hanging="360" w:left="1416" w:right="0"/>
      </w:pPr>
      <w:r>
        <w:rPr>
          <w:rFonts w:ascii="Tahoma" w:cs="Tahoma" w:hAnsi="Tahoma"/>
          <w:color w:val="000000"/>
          <w:sz w:val="20"/>
          <w:szCs w:val="20"/>
        </w:rPr>
        <w:t xml:space="preserve">preukázateľné technické problémy spojené s vyhľadávaním a sprístupňovaním informácie, o ktorých možno predpokladať, že ich možno odstrániť v rámci predĺženej lehoty. </w:t>
      </w:r>
    </w:p>
    <w:p>
      <w:pPr>
        <w:pStyle w:val="style0"/>
        <w:numPr>
          <w:ilvl w:val="0"/>
          <w:numId w:val="9"/>
        </w:numPr>
      </w:pPr>
      <w:r>
        <w:rPr>
          <w:rFonts w:ascii="Tahoma" w:cs="Tahoma" w:hAnsi="Tahoma"/>
          <w:color w:val="000000"/>
          <w:sz w:val="20"/>
          <w:szCs w:val="20"/>
        </w:rPr>
        <w:t xml:space="preserve">Žiadosť o sprístupnenie informácie možno podať : </w:t>
      </w:r>
    </w:p>
    <w:p>
      <w:pPr>
        <w:pStyle w:val="style0"/>
        <w:numPr>
          <w:ilvl w:val="0"/>
          <w:numId w:val="11"/>
        </w:numPr>
        <w:spacing w:after="0" w:before="57"/>
        <w:ind w:hanging="360" w:left="1416" w:right="0"/>
      </w:pPr>
      <w:r>
        <w:rPr>
          <w:rFonts w:ascii="Tahoma" w:cs="Tahoma" w:hAnsi="Tahoma"/>
          <w:color w:val="000000"/>
          <w:sz w:val="20"/>
          <w:szCs w:val="20"/>
        </w:rPr>
        <w:t>ústne alebo písomne na adresu:</w:t>
        <w:br/>
        <w:t xml:space="preserve">Matematický ústav SAV Štefánikova 49, 814 73 Bratislava </w:t>
      </w:r>
    </w:p>
    <w:p>
      <w:pPr>
        <w:pStyle w:val="style0"/>
        <w:numPr>
          <w:ilvl w:val="0"/>
          <w:numId w:val="11"/>
        </w:numPr>
        <w:spacing w:after="0" w:before="0"/>
        <w:ind w:hanging="360" w:left="1416" w:right="0"/>
      </w:pPr>
      <w:r>
        <w:rPr>
          <w:rFonts w:ascii="Tahoma" w:cs="Tahoma" w:hAnsi="Tahoma"/>
          <w:color w:val="000000"/>
          <w:sz w:val="20"/>
          <w:szCs w:val="20"/>
        </w:rPr>
        <w:t xml:space="preserve">telefonicky na telefónnom čísle : 02 / 5751 0414 </w:t>
      </w:r>
    </w:p>
    <w:p>
      <w:pPr>
        <w:pStyle w:val="style0"/>
        <w:numPr>
          <w:ilvl w:val="0"/>
          <w:numId w:val="11"/>
        </w:numPr>
        <w:spacing w:after="0" w:before="0"/>
        <w:ind w:hanging="360" w:left="1416" w:right="0"/>
      </w:pPr>
      <w:r>
        <w:rPr>
          <w:rFonts w:ascii="Tahoma" w:cs="Tahoma" w:hAnsi="Tahoma"/>
          <w:color w:val="000000"/>
          <w:sz w:val="20"/>
          <w:szCs w:val="20"/>
        </w:rPr>
        <w:t xml:space="preserve">faxom na faxové spojenie : 02 / 5249 7316 </w:t>
      </w:r>
    </w:p>
    <w:p>
      <w:pPr>
        <w:pStyle w:val="style0"/>
        <w:numPr>
          <w:ilvl w:val="0"/>
          <w:numId w:val="11"/>
        </w:numPr>
        <w:spacing w:after="280" w:before="0"/>
        <w:ind w:hanging="360" w:left="1416" w:right="0"/>
      </w:pPr>
      <w:r>
        <w:rPr>
          <w:rFonts w:ascii="Tahoma" w:cs="Tahoma" w:hAnsi="Tahoma"/>
          <w:color w:val="000000"/>
          <w:sz w:val="20"/>
          <w:szCs w:val="20"/>
        </w:rPr>
        <w:t xml:space="preserve">e-mailom na adresu : mathinst@mat.savba.sk </w:t>
      </w:r>
    </w:p>
    <w:p>
      <w:pPr>
        <w:pStyle w:val="style57"/>
      </w:pPr>
      <w:r>
        <w:rPr/>
      </w:r>
    </w:p>
    <w:p>
      <w:pPr>
        <w:pStyle w:val="style57"/>
        <w:pageBreakBefore/>
      </w:pPr>
      <w:r>
        <w:rPr>
          <w:b/>
          <w:bCs/>
          <w:color w:val="000000"/>
          <w:sz w:val="20"/>
          <w:szCs w:val="20"/>
        </w:rPr>
        <w:t xml:space="preserve">Postup ústavu pri vybavovaní žiadostí, návrhov, a iných podaní, vrátane lehôt, ktoré je nutné dodržať </w:t>
      </w:r>
    </w:p>
    <w:p>
      <w:pPr>
        <w:pStyle w:val="style57"/>
        <w:numPr>
          <w:ilvl w:val="0"/>
          <w:numId w:val="12"/>
        </w:numPr>
      </w:pPr>
      <w:r>
        <w:rPr>
          <w:color w:val="000000"/>
          <w:sz w:val="20"/>
          <w:szCs w:val="20"/>
        </w:rPr>
        <w:t xml:space="preserve">Za včasné a pravdivé poskytnutie informácií a vybavovanie žiadostí je zodpovedný Matematický ústav SAV. </w:t>
      </w:r>
    </w:p>
    <w:p>
      <w:pPr>
        <w:pStyle w:val="style57"/>
        <w:numPr>
          <w:ilvl w:val="0"/>
          <w:numId w:val="12"/>
        </w:numPr>
      </w:pPr>
      <w:r>
        <w:rPr>
          <w:color w:val="000000"/>
          <w:sz w:val="20"/>
          <w:szCs w:val="20"/>
        </w:rPr>
        <w:t>Evidenciu všetkých podaných žiadostí vedie Matematický ústav SAV.</w:t>
      </w:r>
    </w:p>
    <w:p>
      <w:pPr>
        <w:pStyle w:val="style57"/>
        <w:numPr>
          <w:ilvl w:val="0"/>
          <w:numId w:val="12"/>
        </w:numPr>
      </w:pPr>
      <w:r>
        <w:rPr>
          <w:color w:val="000000"/>
          <w:sz w:val="20"/>
          <w:szCs w:val="20"/>
        </w:rPr>
        <w:t>Evidencia obsahuje predovšetkým :</w:t>
      </w:r>
    </w:p>
    <w:p>
      <w:pPr>
        <w:pStyle w:val="style0"/>
        <w:numPr>
          <w:ilvl w:val="0"/>
          <w:numId w:val="13"/>
        </w:numPr>
        <w:spacing w:after="0" w:before="57"/>
        <w:ind w:hanging="360" w:left="1416" w:right="0"/>
      </w:pPr>
      <w:r>
        <w:rPr>
          <w:rFonts w:ascii="Tahoma" w:cs="Tahoma" w:hAnsi="Tahoma"/>
          <w:color w:val="000000"/>
          <w:sz w:val="20"/>
          <w:szCs w:val="20"/>
        </w:rPr>
        <w:t>dátum podania žiadosti,</w:t>
      </w:r>
    </w:p>
    <w:p>
      <w:pPr>
        <w:pStyle w:val="style0"/>
        <w:numPr>
          <w:ilvl w:val="0"/>
          <w:numId w:val="13"/>
        </w:numPr>
        <w:spacing w:after="0" w:before="57"/>
        <w:ind w:hanging="360" w:left="1416" w:right="0"/>
      </w:pPr>
      <w:r>
        <w:rPr>
          <w:rFonts w:ascii="Tahoma" w:cs="Tahoma" w:hAnsi="Tahoma"/>
          <w:color w:val="000000"/>
          <w:sz w:val="20"/>
          <w:szCs w:val="20"/>
        </w:rPr>
        <w:t>obsah žiadosti, formu podania (napr. písomne, faxom, elektronickou poštou) a navrhovaný spôsob sprístupnenia informácie,</w:t>
      </w:r>
    </w:p>
    <w:p>
      <w:pPr>
        <w:pStyle w:val="style0"/>
        <w:numPr>
          <w:ilvl w:val="0"/>
          <w:numId w:val="13"/>
        </w:numPr>
        <w:spacing w:after="0" w:before="57"/>
        <w:ind w:hanging="360" w:left="1416" w:right="0"/>
      </w:pPr>
      <w:r>
        <w:rPr>
          <w:rFonts w:ascii="Tahoma" w:cs="Tahoma" w:hAnsi="Tahoma"/>
          <w:color w:val="000000"/>
          <w:sz w:val="20"/>
          <w:szCs w:val="20"/>
        </w:rPr>
        <w:t>výsledok, formu a dátum vybavenia žiadosti (napr. poskytnutie informácie kompletnej alebo čiastočnej, forma poskytnutia informácie, výzva na doplnenie, rozhodnutie o neposkytnutí, neposkytnutie bez vydania rozhodnutia, odloženie veci, postúpenie inému orgánu),</w:t>
      </w:r>
    </w:p>
    <w:p>
      <w:pPr>
        <w:pStyle w:val="style0"/>
        <w:numPr>
          <w:ilvl w:val="0"/>
          <w:numId w:val="13"/>
        </w:numPr>
        <w:spacing w:after="0" w:before="57"/>
        <w:ind w:hanging="360" w:left="1416" w:right="0"/>
      </w:pPr>
      <w:r>
        <w:rPr>
          <w:rFonts w:ascii="Tahoma" w:cs="Tahoma" w:hAnsi="Tahoma"/>
          <w:color w:val="000000"/>
          <w:sz w:val="20"/>
          <w:szCs w:val="20"/>
        </w:rPr>
        <w:t>opravný prostriedok (dátum podania a výsledok vybavenia).</w:t>
      </w:r>
    </w:p>
    <w:p>
      <w:pPr>
        <w:pStyle w:val="style57"/>
        <w:numPr>
          <w:ilvl w:val="0"/>
          <w:numId w:val="12"/>
        </w:numPr>
      </w:pPr>
      <w:r>
        <w:rPr>
          <w:rFonts w:cs="Tahoma"/>
          <w:color w:val="000000"/>
          <w:sz w:val="20"/>
          <w:szCs w:val="20"/>
        </w:rPr>
        <w:t>Žiadosť je podaná dňom, keď došla ústavu.</w:t>
      </w:r>
    </w:p>
    <w:p>
      <w:pPr>
        <w:pStyle w:val="style57"/>
        <w:numPr>
          <w:ilvl w:val="0"/>
          <w:numId w:val="12"/>
        </w:numPr>
      </w:pPr>
      <w:r>
        <w:rPr>
          <w:color w:val="000000"/>
          <w:sz w:val="20"/>
          <w:szCs w:val="20"/>
        </w:rPr>
        <w:t>Na žiadosť žiadateľa ak ústav písomne potvrdí podanie žiadosti a oznámi predpokladanú výšku úhrady za sprístupnenie informácie.</w:t>
      </w:r>
    </w:p>
    <w:p>
      <w:pPr>
        <w:pStyle w:val="style57"/>
        <w:numPr>
          <w:ilvl w:val="0"/>
          <w:numId w:val="12"/>
        </w:numPr>
      </w:pPr>
      <w:r>
        <w:rPr>
          <w:color w:val="000000"/>
          <w:sz w:val="20"/>
          <w:szCs w:val="20"/>
        </w:rPr>
        <w:t>Ak predmetom žiadosti je získanie informácií, ktoré už boli zverejnené, MÚ SAV, môže bez zbytočného odkladu, najneskôr však do piatich dní od podania žiadosti, namiesto sprístupnenia informácií žiadateľovi oznámiť údaje, ktoré umožňujú vyhľadanie a získanie zverejnenej informácie.</w:t>
      </w:r>
    </w:p>
    <w:p>
      <w:pPr>
        <w:pStyle w:val="style57"/>
        <w:numPr>
          <w:ilvl w:val="0"/>
          <w:numId w:val="12"/>
        </w:numPr>
      </w:pPr>
      <w:r>
        <w:rPr>
          <w:color w:val="000000"/>
          <w:sz w:val="20"/>
          <w:szCs w:val="20"/>
        </w:rPr>
        <w:t>Ak žiadosť nemá predpísané náležitosti, ústav  bezodkladne vyzve žiadateľa, aby v určenej lehote, ktorá nesmie byť kratšia ako sedem dní, neúplnú žiadosť doplnil. Poučí žiadateľa aj o tom, ako treba doplnenie urobiť. Ak napriek výzve ústavu žiadateľ žiadosť nedoplní a informáciu nemožno pre tento nedostatok sprístupniť, ústav žiadosť odloží bez vydania rozhodnutia, o čom vo výzve na doplnenie upozorní žiadateľa.</w:t>
      </w:r>
    </w:p>
    <w:p>
      <w:pPr>
        <w:pStyle w:val="style57"/>
        <w:numPr>
          <w:ilvl w:val="0"/>
          <w:numId w:val="12"/>
        </w:numPr>
      </w:pPr>
      <w:r>
        <w:rPr>
          <w:color w:val="000000"/>
          <w:sz w:val="20"/>
          <w:szCs w:val="20"/>
        </w:rPr>
        <w:t xml:space="preserve">Ak ústav nedisponuje požadovanými informáciami, žiadosť postúpi do piatich dní od jej podania príslušnej povinnej osobe, ak je jej známa. Lehota na vybavenie žiadosti začína plynúť znovu dňom, keď povinná osoba dostala postúpenú žiadosť. </w:t>
        <w:br/>
        <w:br/>
        <w:t>Ak takáto povinná osoba nie je známa, ústav vydá do ôsmych pracovných dní od podania žiadosti rozhodnutie o jej odmietnutí.</w:t>
      </w:r>
    </w:p>
    <w:p>
      <w:pPr>
        <w:pStyle w:val="style57"/>
        <w:numPr>
          <w:ilvl w:val="0"/>
          <w:numId w:val="12"/>
        </w:numPr>
      </w:pPr>
      <w:r>
        <w:rPr>
          <w:color w:val="000000"/>
          <w:sz w:val="20"/>
          <w:szCs w:val="20"/>
        </w:rPr>
        <w:t>Odpoveď na žiadosť zasiela žiadateľovi MÚ SAV. Odpoveď podpisuje riaditeľ MÚ SAV.</w:t>
      </w:r>
    </w:p>
    <w:p>
      <w:pPr>
        <w:pStyle w:val="style57"/>
        <w:numPr>
          <w:ilvl w:val="0"/>
          <w:numId w:val="12"/>
        </w:numPr>
      </w:pPr>
      <w:r>
        <w:rPr>
          <w:color w:val="000000"/>
          <w:sz w:val="20"/>
          <w:szCs w:val="20"/>
        </w:rPr>
        <w:t xml:space="preserve">Žiadosť s dokumentáciou sa po vybavení ukladá na MÚ SAV. O sprístupnení informácie sa urobí rozhodnutie zápisom v spise. Spis musí obsahovať všetky písomnosti týkajúce sa vybavovania žiadosti, vrátane informácie o spôsobe vybavenia. Všetky písomnosti založené v spise musia byt označené číslom z centrálnej evidencie. </w:t>
      </w:r>
    </w:p>
    <w:p>
      <w:pPr>
        <w:pStyle w:val="style57"/>
        <w:numPr>
          <w:ilvl w:val="0"/>
          <w:numId w:val="12"/>
        </w:numPr>
      </w:pPr>
      <w:r>
        <w:rPr>
          <w:color w:val="000000"/>
          <w:sz w:val="20"/>
          <w:szCs w:val="20"/>
        </w:rPr>
        <w:t>V prípade, ak sa žiadosti nevyhovie, hoci len sčasti, vydá sa v lehote ôsmych pracovných dní písomné rozhodnutie o odmietnutí poskytnúť informáciu. Rozhodnutie sa nevydá, ak žiadosť bola odložená (§14 ods. 3).</w:t>
      </w:r>
    </w:p>
    <w:p>
      <w:pPr>
        <w:pStyle w:val="style57"/>
        <w:numPr>
          <w:ilvl w:val="0"/>
          <w:numId w:val="12"/>
        </w:numPr>
      </w:pPr>
      <w:r>
        <w:rPr>
          <w:color w:val="000000"/>
          <w:sz w:val="20"/>
          <w:szCs w:val="20"/>
        </w:rPr>
        <w:t>Rozhodnutie o odmietnutí poskytnúť informáciu sa vydáva z dôvodu:</w:t>
      </w:r>
    </w:p>
    <w:p>
      <w:pPr>
        <w:pStyle w:val="style57"/>
        <w:numPr>
          <w:ilvl w:val="1"/>
          <w:numId w:val="12"/>
        </w:numPr>
      </w:pPr>
      <w:r>
        <w:rPr>
          <w:color w:val="000000"/>
          <w:sz w:val="20"/>
          <w:szCs w:val="20"/>
        </w:rPr>
        <w:t xml:space="preserve"> </w:t>
      </w:r>
      <w:r>
        <w:rPr>
          <w:color w:val="000000"/>
          <w:sz w:val="20"/>
          <w:szCs w:val="20"/>
        </w:rPr>
        <w:t>ustanoveného obmedzenia prístupu k informáciám (§ 8 až 11 zákona),</w:t>
      </w:r>
    </w:p>
    <w:p>
      <w:pPr>
        <w:pStyle w:val="style57"/>
        <w:numPr>
          <w:ilvl w:val="1"/>
          <w:numId w:val="12"/>
        </w:numPr>
      </w:pPr>
      <w:r>
        <w:rPr>
          <w:color w:val="000000"/>
          <w:sz w:val="20"/>
          <w:szCs w:val="20"/>
        </w:rPr>
        <w:t xml:space="preserve"> </w:t>
      </w:r>
      <w:r>
        <w:rPr>
          <w:color w:val="000000"/>
          <w:sz w:val="20"/>
          <w:szCs w:val="20"/>
        </w:rPr>
        <w:t>keď nie je známa taká povinná osoba, ktorá disponuje požadovanými informáciami (§ 15 ods. 1 zákona).</w:t>
      </w:r>
    </w:p>
    <w:p>
      <w:pPr>
        <w:pStyle w:val="style57"/>
        <w:numPr>
          <w:ilvl w:val="0"/>
          <w:numId w:val="12"/>
        </w:numPr>
      </w:pPr>
      <w:r>
        <w:rPr>
          <w:color w:val="000000"/>
          <w:sz w:val="20"/>
          <w:szCs w:val="20"/>
        </w:rPr>
        <w:t>Rozhodnutie o odmietnutí poskytnúť informáciu sa nevydáva len v prípade, ak bola žiadosť odložená pre neodstránenie jej nedostatkov aj napriek predchádzajúcej výzve.</w:t>
      </w:r>
    </w:p>
    <w:p>
      <w:pPr>
        <w:pStyle w:val="style57"/>
      </w:pPr>
      <w:r>
        <w:rPr>
          <w:b/>
          <w:bCs/>
          <w:color w:val="000000"/>
          <w:sz w:val="20"/>
          <w:szCs w:val="20"/>
        </w:rPr>
        <w:t>Miesto, lehota a spôsob podania opravného prostriedku a možnosti súdneho preskúmania rozhodnutia:</w:t>
      </w:r>
    </w:p>
    <w:p>
      <w:pPr>
        <w:pStyle w:val="style57"/>
        <w:numPr>
          <w:ilvl w:val="0"/>
          <w:numId w:val="14"/>
        </w:numPr>
      </w:pPr>
      <w:r>
        <w:rPr>
          <w:color w:val="000000"/>
          <w:sz w:val="20"/>
          <w:szCs w:val="20"/>
        </w:rPr>
        <w:t>Proti rozhodnutiu ústavu o odmietnutí požadovanej informácie možno podať odvolanie v lehote 15 dní od doručenia rozhodnutia alebo márneho uplynutia lehoty na rozhodnutie o žiadosti. Odvolanie sa podáva ústavu.</w:t>
      </w:r>
    </w:p>
    <w:p>
      <w:pPr>
        <w:pStyle w:val="style57"/>
        <w:numPr>
          <w:ilvl w:val="0"/>
          <w:numId w:val="14"/>
        </w:numPr>
      </w:pPr>
      <w:r>
        <w:rPr>
          <w:color w:val="000000"/>
          <w:sz w:val="20"/>
          <w:szCs w:val="20"/>
        </w:rPr>
        <w:t>O odvolaní proti rozhodnutiu ústavu rozhoduje riaditeľ ústavu, na základe vyjadrenia komisie, ktorú na tento účel ustanovil.</w:t>
      </w:r>
    </w:p>
    <w:p>
      <w:pPr>
        <w:pStyle w:val="style57"/>
        <w:numPr>
          <w:ilvl w:val="0"/>
          <w:numId w:val="14"/>
        </w:numPr>
      </w:pPr>
      <w:r>
        <w:rPr>
          <w:color w:val="000000"/>
          <w:sz w:val="20"/>
          <w:szCs w:val="20"/>
        </w:rPr>
        <w:t>Riaditeľ rozhodne o odvolaní do 15 dní od jeho doručenia. Ak riaditeľ ústavu v tejto lehote nerozhodne, predpokladá sa, že vydal rozhodnutie, ktorým odvolanie zamietol a napadnuté rozhodnutie potvrdil; za deň doručenia tohto rozhodnutia sa považuje druhý deň po uplynutí lehoty na vydanie rozhodnutia.</w:t>
      </w:r>
    </w:p>
    <w:p>
      <w:pPr>
        <w:pStyle w:val="style57"/>
        <w:numPr>
          <w:ilvl w:val="0"/>
          <w:numId w:val="14"/>
        </w:numPr>
      </w:pPr>
      <w:r>
        <w:rPr>
          <w:color w:val="000000"/>
          <w:sz w:val="20"/>
          <w:szCs w:val="20"/>
        </w:rPr>
        <w:t xml:space="preserve">Rozhodnutie o odmietnutí žiadosti možno preskúmať v súdnom konaní podľa zákona č. § 244 až 250 Občianskeho súdneho poriadku. </w:t>
      </w:r>
    </w:p>
    <w:p>
      <w:pPr>
        <w:pStyle w:val="style57"/>
      </w:pPr>
      <w:r>
        <w:rPr>
          <w:b/>
          <w:bCs/>
          <w:color w:val="000000"/>
          <w:sz w:val="20"/>
          <w:szCs w:val="20"/>
        </w:rPr>
        <w:t>Sadzobník úhrad za sprístupnenie informácií</w:t>
      </w:r>
      <w:r>
        <w:rPr>
          <w:color w:val="000000"/>
          <w:sz w:val="20"/>
          <w:szCs w:val="20"/>
        </w:rPr>
        <w:t xml:space="preserve"> </w:t>
      </w:r>
    </w:p>
    <w:p>
      <w:pPr>
        <w:pStyle w:val="style57"/>
        <w:spacing w:after="240" w:before="0"/>
        <w:ind w:hanging="0" w:left="708" w:right="0"/>
      </w:pPr>
      <w:r>
        <w:rPr>
          <w:color w:val="000000"/>
          <w:sz w:val="20"/>
          <w:szCs w:val="20"/>
        </w:rPr>
        <w:t>Informácie sa sprístupňujú bezplatne s výnimkou úhrady vo výške, ktorá nesmie prekročiť sumu materiálnych nákladov spojených so zhotovením kópií, so zadovážením technických nosičov a s odoslaním informácie žiadateľovi. Ústav odpustí úhrady nepresahujúce 0,66,- EUR (20,- Sk).</w:t>
      </w:r>
    </w:p>
    <w:tbl>
      <w:tblPr>
        <w:jc w:val="left"/>
        <w:tblInd w:type="dxa" w:w="1026"/>
        <w:tblBorders>
          <w:top w:color="000001" w:space="0" w:sz="2" w:val="single"/>
          <w:left w:color="000001" w:space="0" w:sz="2" w:val="single"/>
          <w:bottom w:color="000001" w:space="0" w:sz="2" w:val="single"/>
        </w:tblBorders>
      </w:tblPr>
      <w:tblGrid>
        <w:gridCol w:w="3418"/>
        <w:gridCol w:w="2161"/>
      </w:tblGrid>
      <w:tr>
        <w:trPr>
          <w:cantSplit w:val="false"/>
        </w:trPr>
        <w:tc>
          <w:tcPr>
            <w:tcW w:type="dxa" w:w="3418"/>
            <w:tcBorders>
              <w:top w:color="000001" w:space="0" w:sz="2" w:val="single"/>
              <w:left w:color="000001" w:space="0" w:sz="2" w:val="single"/>
              <w:bottom w:color="000001" w:space="0" w:sz="2" w:val="single"/>
            </w:tcBorders>
            <w:shd w:fill="FFFFFF" w:val="clear"/>
            <w:tcMar>
              <w:top w:type="dxa" w:w="0"/>
              <w:left w:type="dxa" w:w="108"/>
              <w:bottom w:type="dxa" w:w="0"/>
              <w:right w:type="dxa" w:w="108"/>
            </w:tcMar>
            <w:vAlign w:val="center"/>
          </w:tcPr>
          <w:p>
            <w:pPr>
              <w:pStyle w:val="style0"/>
              <w:jc w:val="left"/>
            </w:pPr>
            <w:r>
              <w:rPr>
                <w:rFonts w:ascii="Tahoma" w:cs="Tahoma" w:hAnsi="Tahoma"/>
                <w:color w:val="000000"/>
                <w:sz w:val="20"/>
                <w:szCs w:val="20"/>
              </w:rPr>
              <w:t>Internet</w:t>
            </w:r>
          </w:p>
        </w:tc>
        <w:tc>
          <w:tcPr>
            <w:tcW w:type="dxa" w:w="2161"/>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jc w:val="right"/>
            </w:pPr>
            <w:r>
              <w:rPr>
                <w:rFonts w:ascii="Tahoma" w:cs="Tahoma" w:hAnsi="Tahoma"/>
                <w:color w:val="000000"/>
                <w:sz w:val="20"/>
                <w:szCs w:val="20"/>
              </w:rPr>
              <w:t>zadarmo</w:t>
            </w:r>
          </w:p>
        </w:tc>
      </w:tr>
      <w:tr>
        <w:trPr>
          <w:cantSplit w:val="false"/>
        </w:trPr>
        <w:tc>
          <w:tcPr>
            <w:tcW w:type="dxa" w:w="341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pPr>
            <w:r>
              <w:rPr>
                <w:rFonts w:ascii="Tahoma" w:cs="Tahoma" w:hAnsi="Tahoma"/>
                <w:color w:val="000000"/>
                <w:sz w:val="20"/>
                <w:szCs w:val="20"/>
              </w:rPr>
              <w:t>Rozmnoženie 1 ČB strany</w:t>
            </w:r>
          </w:p>
        </w:tc>
        <w:tc>
          <w:tcPr>
            <w:tcW w:type="dxa" w:w="2161"/>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jc w:val="right"/>
            </w:pPr>
            <w:r>
              <w:rPr>
                <w:rFonts w:ascii="Tahoma" w:cs="Tahoma" w:hAnsi="Tahoma"/>
                <w:color w:val="000000"/>
                <w:sz w:val="20"/>
                <w:szCs w:val="20"/>
              </w:rPr>
              <w:t>0.03,- EUR (1,- Sk)</w:t>
            </w:r>
          </w:p>
        </w:tc>
      </w:tr>
      <w:tr>
        <w:trPr>
          <w:cantSplit w:val="false"/>
        </w:trPr>
        <w:tc>
          <w:tcPr>
            <w:tcW w:type="dxa" w:w="341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pPr>
            <w:r>
              <w:rPr>
                <w:rFonts w:ascii="Tahoma" w:cs="Tahoma" w:hAnsi="Tahoma"/>
                <w:color w:val="000000"/>
                <w:sz w:val="20"/>
                <w:szCs w:val="20"/>
              </w:rPr>
              <w:t>Rozmnoženie 1 farebnej strany</w:t>
            </w:r>
          </w:p>
        </w:tc>
        <w:tc>
          <w:tcPr>
            <w:tcW w:type="dxa" w:w="2161"/>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jc w:val="right"/>
            </w:pPr>
            <w:r>
              <w:rPr>
                <w:rFonts w:ascii="Tahoma" w:cs="Tahoma" w:hAnsi="Tahoma"/>
                <w:color w:val="000000"/>
                <w:sz w:val="20"/>
                <w:szCs w:val="20"/>
              </w:rPr>
              <w:t>0,10,- EUR (3,- Sk)</w:t>
            </w:r>
          </w:p>
        </w:tc>
      </w:tr>
      <w:tr>
        <w:trPr>
          <w:cantSplit w:val="false"/>
        </w:trPr>
        <w:tc>
          <w:tcPr>
            <w:tcW w:type="dxa" w:w="341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pPr>
            <w:r>
              <w:rPr>
                <w:rFonts w:ascii="Tahoma" w:cs="Tahoma" w:hAnsi="Tahoma"/>
                <w:color w:val="000000"/>
                <w:sz w:val="20"/>
                <w:szCs w:val="20"/>
              </w:rPr>
              <w:t>Na diskete</w:t>
            </w:r>
          </w:p>
        </w:tc>
        <w:tc>
          <w:tcPr>
            <w:tcW w:type="dxa" w:w="2161"/>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jc w:val="right"/>
            </w:pPr>
            <w:r>
              <w:rPr>
                <w:rFonts w:ascii="Tahoma" w:cs="Tahoma" w:hAnsi="Tahoma"/>
                <w:color w:val="000000"/>
                <w:sz w:val="20"/>
                <w:szCs w:val="20"/>
              </w:rPr>
              <w:t>0,50,- EUR (15,- Sk)</w:t>
            </w:r>
          </w:p>
        </w:tc>
      </w:tr>
      <w:tr>
        <w:trPr>
          <w:cantSplit w:val="false"/>
        </w:trPr>
        <w:tc>
          <w:tcPr>
            <w:tcW w:type="dxa" w:w="3418"/>
            <w:tcBorders>
              <w:left w:color="000001" w:space="0" w:sz="2" w:val="single"/>
              <w:bottom w:color="000001" w:space="0" w:sz="2" w:val="single"/>
            </w:tcBorders>
            <w:shd w:fill="FFFFFF" w:val="clear"/>
            <w:tcMar>
              <w:top w:type="dxa" w:w="0"/>
              <w:left w:type="dxa" w:w="108"/>
              <w:bottom w:type="dxa" w:w="0"/>
              <w:right w:type="dxa" w:w="108"/>
            </w:tcMar>
            <w:vAlign w:val="center"/>
          </w:tcPr>
          <w:p>
            <w:pPr>
              <w:pStyle w:val="style0"/>
            </w:pPr>
            <w:r>
              <w:rPr>
                <w:rFonts w:ascii="Tahoma" w:cs="Tahoma" w:hAnsi="Tahoma"/>
                <w:color w:val="000000"/>
                <w:sz w:val="20"/>
                <w:szCs w:val="20"/>
              </w:rPr>
              <w:t>Na CD nosiči</w:t>
            </w:r>
          </w:p>
        </w:tc>
        <w:tc>
          <w:tcPr>
            <w:tcW w:type="dxa" w:w="2161"/>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jc w:val="right"/>
            </w:pPr>
            <w:r>
              <w:rPr>
                <w:rFonts w:ascii="Tahoma" w:cs="Tahoma" w:hAnsi="Tahoma"/>
                <w:color w:val="000000"/>
                <w:sz w:val="20"/>
                <w:szCs w:val="20"/>
              </w:rPr>
              <w:t>1,33,- EUR (40,- Sk)</w:t>
            </w:r>
          </w:p>
        </w:tc>
      </w:tr>
    </w:tbl>
    <w:p>
      <w:pPr>
        <w:pStyle w:val="style57"/>
      </w:pPr>
      <w:r>
        <w:rPr/>
      </w:r>
    </w:p>
    <w:p>
      <w:pPr>
        <w:pStyle w:val="style57"/>
      </w:pPr>
      <w:r>
        <w:rPr>
          <w:b/>
          <w:bCs/>
          <w:color w:val="000000"/>
          <w:sz w:val="20"/>
          <w:szCs w:val="20"/>
        </w:rPr>
        <w:t xml:space="preserve">Prehľad všeobecne záväzných právnych predpisov, pokynov, inštrukcií, výkladových stanovísk a interných normatívnych aktov, podľa ktorých ústav koná a rozhoduje </w:t>
      </w:r>
    </w:p>
    <w:p>
      <w:pPr>
        <w:pStyle w:val="style57"/>
        <w:numPr>
          <w:ilvl w:val="0"/>
          <w:numId w:val="15"/>
        </w:numPr>
        <w:spacing w:after="0" w:before="0"/>
        <w:ind w:hanging="360" w:left="708" w:right="0"/>
      </w:pPr>
      <w:r>
        <w:rPr>
          <w:color w:val="000000"/>
          <w:sz w:val="20"/>
          <w:szCs w:val="20"/>
        </w:rPr>
        <w:t>zákon č. 74/1963 Zb. o Slovenskej akadémii vied v znení neskorších predpisov</w:t>
      </w:r>
    </w:p>
    <w:p>
      <w:pPr>
        <w:pStyle w:val="style57"/>
        <w:numPr>
          <w:ilvl w:val="0"/>
          <w:numId w:val="15"/>
        </w:numPr>
        <w:spacing w:after="0" w:before="0"/>
        <w:ind w:hanging="360" w:left="708" w:right="0"/>
      </w:pPr>
      <w:r>
        <w:rPr>
          <w:color w:val="000000"/>
          <w:sz w:val="20"/>
          <w:szCs w:val="20"/>
        </w:rPr>
        <w:t>zákon NR SR č. 278/1993 Z.z. o správe majetku štátu v znení neskorších predpisov</w:t>
      </w:r>
    </w:p>
    <w:p>
      <w:pPr>
        <w:pStyle w:val="style57"/>
        <w:numPr>
          <w:ilvl w:val="0"/>
          <w:numId w:val="15"/>
        </w:numPr>
        <w:spacing w:after="0" w:before="0"/>
        <w:ind w:hanging="360" w:left="708" w:right="0"/>
      </w:pPr>
      <w:r>
        <w:rPr>
          <w:color w:val="000000"/>
          <w:sz w:val="20"/>
          <w:szCs w:val="20"/>
        </w:rPr>
        <w:t>Matematický ústav 3. zákon NR SR č. 303/ 1995 Z.z. o rozpočtových pravidlách v znení neskorších predpisov</w:t>
      </w:r>
    </w:p>
    <w:p>
      <w:pPr>
        <w:pStyle w:val="style57"/>
        <w:numPr>
          <w:ilvl w:val="0"/>
          <w:numId w:val="15"/>
        </w:numPr>
        <w:spacing w:after="0" w:before="0"/>
        <w:ind w:hanging="360" w:left="708" w:right="0"/>
      </w:pPr>
      <w:r>
        <w:rPr>
          <w:color w:val="000000"/>
          <w:sz w:val="20"/>
          <w:szCs w:val="20"/>
        </w:rPr>
        <w:t>zákon č. 172/1990 Zb. o vysokých školách v znení neskorších predpisov</w:t>
      </w:r>
    </w:p>
    <w:p>
      <w:pPr>
        <w:pStyle w:val="style57"/>
        <w:numPr>
          <w:ilvl w:val="0"/>
          <w:numId w:val="15"/>
        </w:numPr>
        <w:spacing w:after="0" w:before="0"/>
        <w:ind w:hanging="360" w:left="708" w:right="0"/>
      </w:pPr>
      <w:r>
        <w:rPr>
          <w:color w:val="000000"/>
          <w:sz w:val="20"/>
          <w:szCs w:val="20"/>
        </w:rPr>
        <w:t>zákon č. 53/1964 Zb. o udeľovaní vedeckých hodností a o štátnej komisii pre vedecké hodnosti v znení neskorších predpisov</w:t>
      </w:r>
    </w:p>
    <w:p>
      <w:pPr>
        <w:pStyle w:val="style57"/>
        <w:numPr>
          <w:ilvl w:val="0"/>
          <w:numId w:val="15"/>
        </w:numPr>
        <w:spacing w:after="0" w:before="0"/>
        <w:ind w:hanging="360" w:left="708" w:right="0"/>
      </w:pPr>
      <w:r>
        <w:rPr>
          <w:color w:val="000000"/>
          <w:sz w:val="20"/>
          <w:szCs w:val="20"/>
        </w:rPr>
        <w:t>zákon č. 39/1977 Zb. o výchove nových vedeckých pracovníkov a o ďalšom zvyšovaní kvalifikácie v znení neskorších predpisov</w:t>
      </w:r>
    </w:p>
    <w:p>
      <w:pPr>
        <w:pStyle w:val="style57"/>
        <w:numPr>
          <w:ilvl w:val="0"/>
          <w:numId w:val="15"/>
        </w:numPr>
        <w:spacing w:after="0" w:before="0"/>
        <w:ind w:hanging="360" w:left="708" w:right="0"/>
      </w:pPr>
      <w:r>
        <w:rPr>
          <w:color w:val="000000"/>
          <w:sz w:val="20"/>
          <w:szCs w:val="20"/>
        </w:rPr>
        <w:t>vyhláška Československej akadémie vied č. 55/1977 Zb. o ďalšom zvyšovaní kvalifikácie a o hodnotení tvorivej spôsobilosti vedeckých pracovníkov</w:t>
      </w:r>
    </w:p>
    <w:p>
      <w:pPr>
        <w:pStyle w:val="style57"/>
        <w:numPr>
          <w:ilvl w:val="0"/>
          <w:numId w:val="15"/>
        </w:numPr>
        <w:spacing w:after="240" w:before="0"/>
        <w:ind w:hanging="360" w:left="708" w:right="0"/>
      </w:pPr>
      <w:r>
        <w:rPr>
          <w:color w:val="000000"/>
          <w:sz w:val="20"/>
          <w:szCs w:val="20"/>
        </w:rPr>
        <w:t>8. ostatné interné smernice / na internetovej stránke už sú uverejnené /</w:t>
      </w:r>
    </w:p>
    <w:p>
      <w:pPr>
        <w:pStyle w:val="style2"/>
        <w:numPr>
          <w:ilvl w:val="1"/>
          <w:numId w:val="2"/>
        </w:numPr>
        <w:jc w:val="center"/>
      </w:pPr>
      <w:r>
        <w:rPr/>
      </w:r>
    </w:p>
    <w:p>
      <w:pPr>
        <w:pStyle w:val="style0"/>
        <w:ind w:hanging="0" w:left="0" w:right="0"/>
        <w:jc w:val="both"/>
      </w:pPr>
      <w:r>
        <w:rPr/>
      </w:r>
    </w:p>
    <w:p>
      <w:pPr>
        <w:pStyle w:val="style0"/>
        <w:jc w:val="both"/>
      </w:pPr>
      <w:r>
        <w:rPr/>
      </w:r>
    </w:p>
    <w:p>
      <w:pPr>
        <w:pStyle w:val="style0"/>
        <w:spacing w:after="0" w:before="57"/>
        <w:ind w:firstLine="15" w:left="0" w:right="0"/>
        <w:jc w:val="both"/>
      </w:pPr>
      <w:r>
        <w:rPr/>
      </w:r>
    </w:p>
    <w:p>
      <w:pPr>
        <w:pStyle w:val="style0"/>
        <w:numPr>
          <w:ilvl w:val="0"/>
          <w:numId w:val="3"/>
        </w:numPr>
        <w:ind w:hanging="360" w:left="720" w:right="0"/>
        <w:jc w:val="both"/>
      </w:pPr>
      <w:r>
        <w:rPr/>
      </w:r>
    </w:p>
    <w:p>
      <w:pPr>
        <w:pStyle w:val="style0"/>
        <w:numPr>
          <w:ilvl w:val="0"/>
          <w:numId w:val="3"/>
        </w:numPr>
        <w:ind w:hanging="360" w:left="720" w:right="0"/>
        <w:jc w:val="both"/>
      </w:pPr>
      <w:r>
        <w:rPr/>
      </w:r>
    </w:p>
    <w:p>
      <w:pPr>
        <w:pStyle w:val="style0"/>
        <w:numPr>
          <w:ilvl w:val="0"/>
          <w:numId w:val="3"/>
        </w:numPr>
        <w:ind w:hanging="360" w:left="720" w:right="0"/>
        <w:jc w:val="both"/>
      </w:pPr>
      <w:r>
        <w:rPr/>
      </w:r>
    </w:p>
    <w:p>
      <w:pPr>
        <w:pStyle w:val="style0"/>
        <w:numPr>
          <w:ilvl w:val="1"/>
          <w:numId w:val="4"/>
        </w:numPr>
        <w:jc w:val="both"/>
      </w:pPr>
      <w:r>
        <w:rPr/>
      </w:r>
    </w:p>
    <w:p>
      <w:pPr>
        <w:pStyle w:val="style0"/>
        <w:numPr>
          <w:ilvl w:val="1"/>
          <w:numId w:val="4"/>
        </w:numPr>
        <w:jc w:val="both"/>
      </w:pPr>
      <w:r>
        <w:rPr/>
      </w:r>
    </w:p>
    <w:p>
      <w:pPr>
        <w:pStyle w:val="style0"/>
        <w:numPr>
          <w:ilvl w:val="1"/>
          <w:numId w:val="4"/>
        </w:numPr>
        <w:jc w:val="both"/>
      </w:pPr>
      <w:r>
        <w:rPr/>
      </w:r>
    </w:p>
    <w:p>
      <w:pPr>
        <w:pStyle w:val="style0"/>
        <w:ind w:firstLine="708" w:left="0" w:right="0"/>
        <w:jc w:val="both"/>
      </w:pPr>
      <w:r>
        <w:rPr/>
      </w:r>
    </w:p>
    <w:p>
      <w:pPr>
        <w:pStyle w:val="style0"/>
        <w:ind w:firstLine="15" w:left="0" w:right="0"/>
        <w:jc w:val="both"/>
      </w:pPr>
      <w:r>
        <w:rPr/>
      </w:r>
    </w:p>
    <w:p>
      <w:pPr>
        <w:pStyle w:val="style0"/>
        <w:jc w:val="both"/>
      </w:pPr>
      <w:r>
        <w:rPr/>
      </w:r>
    </w:p>
    <w:p>
      <w:pPr>
        <w:pStyle w:val="style0"/>
        <w:ind w:hanging="0" w:left="0" w:right="0"/>
        <w:jc w:val="both"/>
      </w:pPr>
      <w:r>
        <w:rPr/>
      </w:r>
    </w:p>
    <w:p>
      <w:pPr>
        <w:pStyle w:val="style2"/>
        <w:numPr>
          <w:ilvl w:val="1"/>
          <w:numId w:val="1"/>
        </w:numPr>
        <w:jc w:val="center"/>
      </w:pPr>
      <w:r>
        <w:rPr/>
      </w:r>
    </w:p>
    <w:p>
      <w:pPr>
        <w:pStyle w:val="style0"/>
      </w:pPr>
      <w:r>
        <w:rPr/>
      </w:r>
    </w:p>
    <w:sectPr>
      <w:type w:val="nextPage"/>
      <w:pgSz w:h="16838" w:w="11906"/>
      <w:pgMar w:bottom="1417" w:footer="0" w:gutter="0" w:header="0" w:left="1417" w:right="1417" w:top="1417"/>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default"/>
  </w:font>
  <w:font w:name="Symbol">
    <w:charset w:val="02"/>
    <w:family w:val="auto"/>
    <w:pitch w:val="variable"/>
  </w:font>
  <w:font w:name="OpenSymbol">
    <w:altName w:val="Arial Unicode MS"/>
    <w:charset w:val="80"/>
    <w:family w:val="auto"/>
    <w:pitch w:val="variable"/>
  </w:font>
  <w:font w:name="Wingdings">
    <w:charset w:val="02"/>
    <w:family w:val="auto"/>
    <w:pitch w:val="default"/>
  </w:font>
  <w:font w:name="Courier New">
    <w:charset w:val="80"/>
    <w:family w:val="modern"/>
    <w:pitch w:val="fixed"/>
  </w:font>
</w:fonts>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3">
    <w:lvl w:ilvl="0">
      <w:start w:val="1"/>
      <w:numFmt w:val="bullet"/>
      <w:lvlText w:val="-"/>
      <w:lvlJc w:val="left"/>
      <w:pPr>
        <w:tabs>
          <w:tab w:pos="720" w:val="num"/>
        </w:tabs>
        <w:ind w:hanging="360" w:left="720"/>
      </w:pPr>
      <w:rPr>
        <w:rFonts w:ascii="Times New Roman" w:cs="Times New Roman" w:hAnsi="Times New Roman" w:hint="default"/>
      </w:r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4">
    <w:lvl w:ilvl="0">
      <w:start w:val="1"/>
      <w:numFmt w:val="decimal"/>
      <w:lvlText w:val="%1."/>
      <w:lvlJc w:val="left"/>
      <w:pPr>
        <w:tabs>
          <w:tab w:pos="720" w:val="num"/>
        </w:tabs>
        <w:ind w:hanging="360" w:left="720"/>
      </w:pPr>
      <w:rPr>
        <w:sz w:val="20"/>
        <w:szCs w:val="20"/>
      </w:rPr>
    </w:lvl>
    <w:lvl w:ilvl="1">
      <w:start w:val="1"/>
      <w:numFmt w:val="lowerLetter"/>
      <w:lvlText w:val="%2)"/>
      <w:lvlJc w:val="left"/>
      <w:pPr>
        <w:tabs>
          <w:tab w:pos="1080" w:val="num"/>
        </w:tabs>
        <w:ind w:hanging="360" w:left="1080"/>
      </w:pPr>
      <w:rPr>
        <w:sz w:val="20"/>
        <w:szCs w:val="20"/>
      </w:rPr>
    </w:lvl>
    <w:lvl w:ilvl="2">
      <w:start w:val="1"/>
      <w:numFmt w:val="decimal"/>
      <w:lvlText w:val="%3."/>
      <w:lvlJc w:val="left"/>
      <w:pPr>
        <w:tabs>
          <w:tab w:pos="1440" w:val="num"/>
        </w:tabs>
        <w:ind w:hanging="360" w:left="1440"/>
      </w:pPr>
      <w:rPr>
        <w:sz w:val="20"/>
        <w:szCs w:val="20"/>
      </w:rPr>
    </w:lvl>
    <w:lvl w:ilvl="3">
      <w:start w:val="1"/>
      <w:numFmt w:val="decimal"/>
      <w:lvlText w:val="%4."/>
      <w:lvlJc w:val="left"/>
      <w:pPr>
        <w:tabs>
          <w:tab w:pos="1800" w:val="num"/>
        </w:tabs>
        <w:ind w:hanging="360" w:left="1800"/>
      </w:pPr>
      <w:rPr>
        <w:sz w:val="20"/>
        <w:szCs w:val="20"/>
      </w:rPr>
    </w:lvl>
    <w:lvl w:ilvl="4">
      <w:start w:val="1"/>
      <w:numFmt w:val="decimal"/>
      <w:lvlText w:val="%5."/>
      <w:lvlJc w:val="left"/>
      <w:pPr>
        <w:tabs>
          <w:tab w:pos="2160" w:val="num"/>
        </w:tabs>
        <w:ind w:hanging="360" w:left="2160"/>
      </w:pPr>
      <w:rPr>
        <w:sz w:val="20"/>
        <w:szCs w:val="20"/>
      </w:rPr>
    </w:lvl>
    <w:lvl w:ilvl="5">
      <w:start w:val="1"/>
      <w:numFmt w:val="decimal"/>
      <w:lvlText w:val="%6."/>
      <w:lvlJc w:val="left"/>
      <w:pPr>
        <w:tabs>
          <w:tab w:pos="2520" w:val="num"/>
        </w:tabs>
        <w:ind w:hanging="360" w:left="2520"/>
      </w:pPr>
      <w:rPr>
        <w:sz w:val="20"/>
        <w:szCs w:val="20"/>
      </w:rPr>
    </w:lvl>
    <w:lvl w:ilvl="6">
      <w:start w:val="1"/>
      <w:numFmt w:val="decimal"/>
      <w:lvlText w:val="%7."/>
      <w:lvlJc w:val="left"/>
      <w:pPr>
        <w:tabs>
          <w:tab w:pos="2880" w:val="num"/>
        </w:tabs>
        <w:ind w:hanging="360" w:left="2880"/>
      </w:pPr>
      <w:rPr>
        <w:sz w:val="20"/>
        <w:szCs w:val="20"/>
      </w:rPr>
    </w:lvl>
    <w:lvl w:ilvl="7">
      <w:start w:val="1"/>
      <w:numFmt w:val="decimal"/>
      <w:lvlText w:val="%8."/>
      <w:lvlJc w:val="left"/>
      <w:pPr>
        <w:tabs>
          <w:tab w:pos="3240" w:val="num"/>
        </w:tabs>
        <w:ind w:hanging="360" w:left="3240"/>
      </w:pPr>
      <w:rPr>
        <w:sz w:val="20"/>
        <w:szCs w:val="20"/>
      </w:rPr>
    </w:lvl>
    <w:lvl w:ilvl="8">
      <w:start w:val="1"/>
      <w:numFmt w:val="decimal"/>
      <w:lvlText w:val="%9."/>
      <w:lvlJc w:val="left"/>
      <w:pPr>
        <w:tabs>
          <w:tab w:pos="3600" w:val="num"/>
        </w:tabs>
        <w:ind w:hanging="360" w:left="3600"/>
      </w:pPr>
      <w:rPr>
        <w:sz w:val="20"/>
        <w:szCs w:val="20"/>
      </w:rPr>
    </w:lvl>
  </w:abstractNum>
  <w:abstractNum w:abstractNumId="5">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6">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7">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8">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9">
    <w:lvl w:ilvl="0">
      <w:start w:val="1"/>
      <w:numFmt w:val="decimal"/>
      <w:lvlText w:val="(%1)"/>
      <w:lvlJc w:val="left"/>
      <w:pPr>
        <w:tabs>
          <w:tab w:pos="720" w:val="num"/>
        </w:tabs>
        <w:ind w:hanging="360" w:left="720"/>
      </w:pPr>
      <w:rPr>
        <w:sz w:val="20"/>
        <w:szCs w:val="20"/>
      </w:rPr>
    </w:lvl>
    <w:lvl w:ilvl="1">
      <w:start w:val="1"/>
      <w:numFmt w:val="lowerLetter"/>
      <w:lvlText w:val="%2)"/>
      <w:lvlJc w:val="left"/>
      <w:pPr>
        <w:tabs>
          <w:tab w:pos="1080" w:val="num"/>
        </w:tabs>
        <w:ind w:hanging="360" w:left="1080"/>
      </w:pPr>
      <w:rPr>
        <w:sz w:val="20"/>
        <w:szCs w:val="20"/>
      </w:rPr>
    </w:lvl>
    <w:lvl w:ilvl="2">
      <w:start w:val="1"/>
      <w:numFmt w:val="decimal"/>
      <w:lvlText w:val="%3."/>
      <w:lvlJc w:val="left"/>
      <w:pPr>
        <w:tabs>
          <w:tab w:pos="1440" w:val="num"/>
        </w:tabs>
        <w:ind w:hanging="360" w:left="1440"/>
      </w:pPr>
      <w:rPr>
        <w:sz w:val="20"/>
        <w:szCs w:val="20"/>
      </w:rPr>
    </w:lvl>
    <w:lvl w:ilvl="3">
      <w:start w:val="1"/>
      <w:numFmt w:val="decimal"/>
      <w:lvlText w:val="%4."/>
      <w:lvlJc w:val="left"/>
      <w:pPr>
        <w:tabs>
          <w:tab w:pos="1800" w:val="num"/>
        </w:tabs>
        <w:ind w:hanging="360" w:left="1800"/>
      </w:pPr>
      <w:rPr>
        <w:sz w:val="20"/>
        <w:szCs w:val="20"/>
      </w:rPr>
    </w:lvl>
    <w:lvl w:ilvl="4">
      <w:start w:val="1"/>
      <w:numFmt w:val="decimal"/>
      <w:lvlText w:val="%5."/>
      <w:lvlJc w:val="left"/>
      <w:pPr>
        <w:tabs>
          <w:tab w:pos="2160" w:val="num"/>
        </w:tabs>
        <w:ind w:hanging="360" w:left="2160"/>
      </w:pPr>
      <w:rPr>
        <w:sz w:val="20"/>
        <w:szCs w:val="20"/>
      </w:rPr>
    </w:lvl>
    <w:lvl w:ilvl="5">
      <w:start w:val="1"/>
      <w:numFmt w:val="decimal"/>
      <w:lvlText w:val="%6."/>
      <w:lvlJc w:val="left"/>
      <w:pPr>
        <w:tabs>
          <w:tab w:pos="2520" w:val="num"/>
        </w:tabs>
        <w:ind w:hanging="360" w:left="2520"/>
      </w:pPr>
      <w:rPr>
        <w:sz w:val="20"/>
        <w:szCs w:val="20"/>
      </w:rPr>
    </w:lvl>
    <w:lvl w:ilvl="6">
      <w:start w:val="1"/>
      <w:numFmt w:val="decimal"/>
      <w:lvlText w:val="%7."/>
      <w:lvlJc w:val="left"/>
      <w:pPr>
        <w:tabs>
          <w:tab w:pos="2880" w:val="num"/>
        </w:tabs>
        <w:ind w:hanging="360" w:left="2880"/>
      </w:pPr>
      <w:rPr>
        <w:sz w:val="20"/>
        <w:szCs w:val="20"/>
      </w:rPr>
    </w:lvl>
    <w:lvl w:ilvl="7">
      <w:start w:val="1"/>
      <w:numFmt w:val="decimal"/>
      <w:lvlText w:val="%8."/>
      <w:lvlJc w:val="left"/>
      <w:pPr>
        <w:tabs>
          <w:tab w:pos="3240" w:val="num"/>
        </w:tabs>
        <w:ind w:hanging="360" w:left="3240"/>
      </w:pPr>
      <w:rPr>
        <w:sz w:val="20"/>
        <w:szCs w:val="20"/>
      </w:rPr>
    </w:lvl>
    <w:lvl w:ilvl="8">
      <w:start w:val="1"/>
      <w:numFmt w:val="decimal"/>
      <w:lvlText w:val="%9."/>
      <w:lvlJc w:val="left"/>
      <w:pPr>
        <w:tabs>
          <w:tab w:pos="3600" w:val="num"/>
        </w:tabs>
        <w:ind w:hanging="360" w:left="3600"/>
      </w:pPr>
      <w:rPr>
        <w:sz w:val="20"/>
        <w:szCs w:val="20"/>
      </w:rPr>
    </w:lvl>
  </w:abstractNum>
  <w:abstractNum w:abstractNumId="10">
    <w:lvl w:ilvl="0">
      <w:start w:val="1"/>
      <w:numFmt w:val="bullet"/>
      <w:lvlText w:val=""/>
      <w:lvlJc w:val="left"/>
      <w:pPr>
        <w:tabs>
          <w:tab w:pos="720" w:val="num"/>
        </w:tabs>
        <w:ind w:hanging="360" w:left="720"/>
      </w:pPr>
      <w:rPr>
        <w:rFonts w:ascii="Wingdings" w:cs="Wingdings" w:hAnsi="Wingdings"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1">
    <w:lvl w:ilvl="0">
      <w:start w:val="1"/>
      <w:numFmt w:val="bullet"/>
      <w:lvlText w:val=""/>
      <w:lvlJc w:val="left"/>
      <w:pPr>
        <w:tabs>
          <w:tab w:pos="720" w:val="num"/>
        </w:tabs>
        <w:ind w:hanging="360" w:left="720"/>
      </w:pPr>
      <w:rPr>
        <w:rFonts w:ascii="Wingdings" w:cs="Wingdings" w:hAnsi="Wingdings"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2">
    <w:lvl w:ilvl="0">
      <w:start w:val="1"/>
      <w:numFmt w:val="decimal"/>
      <w:lvlText w:val="(%1)"/>
      <w:lvlJc w:val="left"/>
      <w:pPr>
        <w:tabs>
          <w:tab w:pos="777" w:val="num"/>
        </w:tabs>
        <w:ind w:hanging="360" w:left="720"/>
      </w:pPr>
      <w:rPr>
        <w:sz w:val="20"/>
        <w:szCs w:val="20"/>
      </w:rPr>
    </w:lvl>
    <w:lvl w:ilvl="1">
      <w:start w:val="1"/>
      <w:numFmt w:val="lowerLetter"/>
      <w:lvlText w:val="%2)"/>
      <w:lvlJc w:val="left"/>
      <w:pPr>
        <w:tabs>
          <w:tab w:pos="1080" w:val="num"/>
        </w:tabs>
        <w:ind w:hanging="360" w:left="1080"/>
      </w:pPr>
      <w:rPr>
        <w:sz w:val="20"/>
        <w:szCs w:val="20"/>
      </w:rPr>
    </w:lvl>
    <w:lvl w:ilvl="2">
      <w:start w:val="1"/>
      <w:numFmt w:val="decimal"/>
      <w:lvlText w:val="%3."/>
      <w:lvlJc w:val="left"/>
      <w:pPr>
        <w:tabs>
          <w:tab w:pos="1440" w:val="num"/>
        </w:tabs>
        <w:ind w:hanging="360" w:left="1440"/>
      </w:pPr>
      <w:rPr>
        <w:sz w:val="20"/>
        <w:szCs w:val="20"/>
      </w:rPr>
    </w:lvl>
    <w:lvl w:ilvl="3">
      <w:start w:val="1"/>
      <w:numFmt w:val="decimal"/>
      <w:lvlText w:val="%4."/>
      <w:lvlJc w:val="left"/>
      <w:pPr>
        <w:tabs>
          <w:tab w:pos="1800" w:val="num"/>
        </w:tabs>
        <w:ind w:hanging="360" w:left="1800"/>
      </w:pPr>
      <w:rPr>
        <w:sz w:val="20"/>
        <w:szCs w:val="20"/>
      </w:rPr>
    </w:lvl>
    <w:lvl w:ilvl="4">
      <w:start w:val="1"/>
      <w:numFmt w:val="decimal"/>
      <w:lvlText w:val="%5."/>
      <w:lvlJc w:val="left"/>
      <w:pPr>
        <w:tabs>
          <w:tab w:pos="2160" w:val="num"/>
        </w:tabs>
        <w:ind w:hanging="360" w:left="2160"/>
      </w:pPr>
      <w:rPr>
        <w:sz w:val="20"/>
        <w:szCs w:val="20"/>
      </w:rPr>
    </w:lvl>
    <w:lvl w:ilvl="5">
      <w:start w:val="1"/>
      <w:numFmt w:val="decimal"/>
      <w:lvlText w:val="%6."/>
      <w:lvlJc w:val="left"/>
      <w:pPr>
        <w:tabs>
          <w:tab w:pos="2520" w:val="num"/>
        </w:tabs>
        <w:ind w:hanging="360" w:left="2520"/>
      </w:pPr>
      <w:rPr>
        <w:sz w:val="20"/>
        <w:szCs w:val="20"/>
      </w:rPr>
    </w:lvl>
    <w:lvl w:ilvl="6">
      <w:start w:val="1"/>
      <w:numFmt w:val="decimal"/>
      <w:lvlText w:val="%7."/>
      <w:lvlJc w:val="left"/>
      <w:pPr>
        <w:tabs>
          <w:tab w:pos="2880" w:val="num"/>
        </w:tabs>
        <w:ind w:hanging="360" w:left="2880"/>
      </w:pPr>
      <w:rPr>
        <w:sz w:val="20"/>
        <w:szCs w:val="20"/>
      </w:rPr>
    </w:lvl>
    <w:lvl w:ilvl="7">
      <w:start w:val="1"/>
      <w:numFmt w:val="decimal"/>
      <w:lvlText w:val="%8."/>
      <w:lvlJc w:val="left"/>
      <w:pPr>
        <w:tabs>
          <w:tab w:pos="3240" w:val="num"/>
        </w:tabs>
        <w:ind w:hanging="360" w:left="3240"/>
      </w:pPr>
      <w:rPr>
        <w:sz w:val="20"/>
        <w:szCs w:val="20"/>
      </w:rPr>
    </w:lvl>
    <w:lvl w:ilvl="8">
      <w:start w:val="1"/>
      <w:numFmt w:val="decimal"/>
      <w:lvlText w:val="%9."/>
      <w:lvlJc w:val="left"/>
      <w:pPr>
        <w:tabs>
          <w:tab w:pos="3600" w:val="num"/>
        </w:tabs>
        <w:ind w:hanging="360" w:left="3600"/>
      </w:pPr>
      <w:rPr>
        <w:sz w:val="20"/>
        <w:szCs w:val="20"/>
      </w:rPr>
    </w:lvl>
  </w:abstractNum>
  <w:abstractNum w:abstractNumId="13">
    <w:lvl w:ilvl="0">
      <w:start w:val="1"/>
      <w:numFmt w:val="bullet"/>
      <w:lvlText w:val=""/>
      <w:lvlJc w:val="left"/>
      <w:pPr>
        <w:tabs>
          <w:tab w:pos="720" w:val="num"/>
        </w:tabs>
        <w:ind w:hanging="360" w:left="720"/>
      </w:pPr>
      <w:rPr>
        <w:rFonts w:ascii="Wingdings" w:cs="Wingdings" w:hAnsi="Wingdings"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14">
    <w:lvl w:ilvl="0">
      <w:start w:val="1"/>
      <w:numFmt w:val="decimal"/>
      <w:lvlText w:val="(%1)"/>
      <w:lvlJc w:val="left"/>
      <w:pPr>
        <w:tabs>
          <w:tab w:pos="720" w:val="num"/>
        </w:tabs>
        <w:ind w:hanging="360" w:left="720"/>
      </w:pPr>
      <w:rPr>
        <w:sz w:val="20"/>
        <w:szCs w:val="20"/>
      </w:rPr>
    </w:lvl>
    <w:lvl w:ilvl="1">
      <w:start w:val="1"/>
      <w:numFmt w:val="decimal"/>
      <w:lvlText w:val="%2."/>
      <w:lvlJc w:val="left"/>
      <w:pPr>
        <w:tabs>
          <w:tab w:pos="1080" w:val="num"/>
        </w:tabs>
        <w:ind w:hanging="360" w:left="1080"/>
      </w:pPr>
      <w:rPr>
        <w:sz w:val="20"/>
        <w:szCs w:val="20"/>
      </w:rPr>
    </w:lvl>
    <w:lvl w:ilvl="2">
      <w:start w:val="1"/>
      <w:numFmt w:val="decimal"/>
      <w:lvlText w:val="%3."/>
      <w:lvlJc w:val="left"/>
      <w:pPr>
        <w:tabs>
          <w:tab w:pos="1440" w:val="num"/>
        </w:tabs>
        <w:ind w:hanging="360" w:left="1440"/>
      </w:pPr>
      <w:rPr>
        <w:sz w:val="20"/>
        <w:szCs w:val="20"/>
      </w:rPr>
    </w:lvl>
    <w:lvl w:ilvl="3">
      <w:start w:val="1"/>
      <w:numFmt w:val="decimal"/>
      <w:lvlText w:val="%4."/>
      <w:lvlJc w:val="left"/>
      <w:pPr>
        <w:tabs>
          <w:tab w:pos="1800" w:val="num"/>
        </w:tabs>
        <w:ind w:hanging="360" w:left="1800"/>
      </w:pPr>
      <w:rPr>
        <w:sz w:val="20"/>
        <w:szCs w:val="20"/>
      </w:rPr>
    </w:lvl>
    <w:lvl w:ilvl="4">
      <w:start w:val="1"/>
      <w:numFmt w:val="decimal"/>
      <w:lvlText w:val="%5."/>
      <w:lvlJc w:val="left"/>
      <w:pPr>
        <w:tabs>
          <w:tab w:pos="2160" w:val="num"/>
        </w:tabs>
        <w:ind w:hanging="360" w:left="2160"/>
      </w:pPr>
      <w:rPr>
        <w:sz w:val="20"/>
        <w:szCs w:val="20"/>
      </w:rPr>
    </w:lvl>
    <w:lvl w:ilvl="5">
      <w:start w:val="1"/>
      <w:numFmt w:val="decimal"/>
      <w:lvlText w:val="%6."/>
      <w:lvlJc w:val="left"/>
      <w:pPr>
        <w:tabs>
          <w:tab w:pos="2520" w:val="num"/>
        </w:tabs>
        <w:ind w:hanging="360" w:left="2520"/>
      </w:pPr>
      <w:rPr>
        <w:sz w:val="20"/>
        <w:szCs w:val="20"/>
      </w:rPr>
    </w:lvl>
    <w:lvl w:ilvl="6">
      <w:start w:val="1"/>
      <w:numFmt w:val="decimal"/>
      <w:lvlText w:val="%7."/>
      <w:lvlJc w:val="left"/>
      <w:pPr>
        <w:tabs>
          <w:tab w:pos="2880" w:val="num"/>
        </w:tabs>
        <w:ind w:hanging="360" w:left="2880"/>
      </w:pPr>
      <w:rPr>
        <w:sz w:val="20"/>
        <w:szCs w:val="20"/>
      </w:rPr>
    </w:lvl>
    <w:lvl w:ilvl="7">
      <w:start w:val="1"/>
      <w:numFmt w:val="decimal"/>
      <w:lvlText w:val="%8."/>
      <w:lvlJc w:val="left"/>
      <w:pPr>
        <w:tabs>
          <w:tab w:pos="3240" w:val="num"/>
        </w:tabs>
        <w:ind w:hanging="360" w:left="3240"/>
      </w:pPr>
      <w:rPr>
        <w:sz w:val="20"/>
        <w:szCs w:val="20"/>
      </w:rPr>
    </w:lvl>
    <w:lvl w:ilvl="8">
      <w:start w:val="1"/>
      <w:numFmt w:val="decimal"/>
      <w:lvlText w:val="%9."/>
      <w:lvlJc w:val="left"/>
      <w:pPr>
        <w:tabs>
          <w:tab w:pos="3600" w:val="num"/>
        </w:tabs>
        <w:ind w:hanging="360" w:left="3600"/>
      </w:pPr>
      <w:rPr>
        <w:sz w:val="20"/>
        <w:szCs w:val="20"/>
      </w:rPr>
    </w:lvl>
  </w:abstractNum>
  <w:abstractNum w:abstractNumId="15">
    <w:lvl w:ilvl="0">
      <w:start w:val="1"/>
      <w:numFmt w:val="decimal"/>
      <w:lvlText w:val="%1."/>
      <w:lvlJc w:val="left"/>
      <w:pPr>
        <w:tabs>
          <w:tab w:pos="720" w:val="num"/>
        </w:tabs>
        <w:ind w:hanging="360" w:left="720"/>
      </w:pPr>
      <w:rPr>
        <w:sz w:val="20"/>
        <w:szCs w:val="20"/>
      </w:rPr>
    </w:lvl>
    <w:lvl w:ilvl="1">
      <w:start w:val="1"/>
      <w:numFmt w:val="decimal"/>
      <w:lvlText w:val="%2."/>
      <w:lvlJc w:val="left"/>
      <w:pPr>
        <w:tabs>
          <w:tab w:pos="1080" w:val="num"/>
        </w:tabs>
        <w:ind w:hanging="360" w:left="1080"/>
      </w:pPr>
      <w:rPr>
        <w:sz w:val="20"/>
        <w:szCs w:val="20"/>
      </w:rPr>
    </w:lvl>
    <w:lvl w:ilvl="2">
      <w:start w:val="1"/>
      <w:numFmt w:val="decimal"/>
      <w:lvlText w:val="%3."/>
      <w:lvlJc w:val="left"/>
      <w:pPr>
        <w:tabs>
          <w:tab w:pos="1440" w:val="num"/>
        </w:tabs>
        <w:ind w:hanging="360" w:left="1440"/>
      </w:pPr>
      <w:rPr>
        <w:sz w:val="20"/>
        <w:szCs w:val="20"/>
      </w:rPr>
    </w:lvl>
    <w:lvl w:ilvl="3">
      <w:start w:val="1"/>
      <w:numFmt w:val="decimal"/>
      <w:lvlText w:val="%4."/>
      <w:lvlJc w:val="left"/>
      <w:pPr>
        <w:tabs>
          <w:tab w:pos="1800" w:val="num"/>
        </w:tabs>
        <w:ind w:hanging="360" w:left="1800"/>
      </w:pPr>
      <w:rPr>
        <w:sz w:val="20"/>
        <w:szCs w:val="20"/>
      </w:rPr>
    </w:lvl>
    <w:lvl w:ilvl="4">
      <w:start w:val="1"/>
      <w:numFmt w:val="decimal"/>
      <w:lvlText w:val="%5."/>
      <w:lvlJc w:val="left"/>
      <w:pPr>
        <w:tabs>
          <w:tab w:pos="2160" w:val="num"/>
        </w:tabs>
        <w:ind w:hanging="360" w:left="2160"/>
      </w:pPr>
      <w:rPr>
        <w:sz w:val="20"/>
        <w:szCs w:val="20"/>
      </w:rPr>
    </w:lvl>
    <w:lvl w:ilvl="5">
      <w:start w:val="1"/>
      <w:numFmt w:val="decimal"/>
      <w:lvlText w:val="%6."/>
      <w:lvlJc w:val="left"/>
      <w:pPr>
        <w:tabs>
          <w:tab w:pos="2520" w:val="num"/>
        </w:tabs>
        <w:ind w:hanging="360" w:left="2520"/>
      </w:pPr>
      <w:rPr>
        <w:sz w:val="20"/>
        <w:szCs w:val="20"/>
      </w:rPr>
    </w:lvl>
    <w:lvl w:ilvl="6">
      <w:start w:val="1"/>
      <w:numFmt w:val="decimal"/>
      <w:lvlText w:val="%7."/>
      <w:lvlJc w:val="left"/>
      <w:pPr>
        <w:tabs>
          <w:tab w:pos="2880" w:val="num"/>
        </w:tabs>
        <w:ind w:hanging="360" w:left="2880"/>
      </w:pPr>
      <w:rPr>
        <w:sz w:val="20"/>
        <w:szCs w:val="20"/>
      </w:rPr>
    </w:lvl>
    <w:lvl w:ilvl="7">
      <w:start w:val="1"/>
      <w:numFmt w:val="decimal"/>
      <w:lvlText w:val="%8."/>
      <w:lvlJc w:val="left"/>
      <w:pPr>
        <w:tabs>
          <w:tab w:pos="3240" w:val="num"/>
        </w:tabs>
        <w:ind w:hanging="360" w:left="3240"/>
      </w:pPr>
      <w:rPr>
        <w:sz w:val="20"/>
        <w:szCs w:val="20"/>
      </w:rPr>
    </w:lvl>
    <w:lvl w:ilvl="8">
      <w:start w:val="1"/>
      <w:numFmt w:val="decimal"/>
      <w:lvlText w:val="%9."/>
      <w:lvlJc w:val="left"/>
      <w:pPr>
        <w:tabs>
          <w:tab w:pos="3600" w:val="num"/>
        </w:tabs>
        <w:ind w:hanging="360" w:left="3600"/>
      </w:pPr>
      <w:rPr>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tyles.xml><?xml version="1.0" encoding="utf-8"?>
<w:styles xmlns:w="http://schemas.openxmlformats.org/wordprocessingml/2006/main">
  <w:style w:styleId="style0" w:type="paragraph">
    <w:name w:val="Východzie"/>
    <w:next w:val="style0"/>
    <w:pPr>
      <w:widowControl/>
      <w:tabs>
        <w:tab w:leader="none" w:pos="708" w:val="left"/>
      </w:tabs>
      <w:suppressAutoHyphens w:val="true"/>
      <w:overflowPunct w:val="false"/>
    </w:pPr>
    <w:rPr>
      <w:rFonts w:ascii="Times New Roman" w:cs="Times New Roman" w:eastAsia="Times New Roman" w:hAnsi="Times New Roman"/>
      <w:color w:val="00000A"/>
      <w:sz w:val="24"/>
      <w:szCs w:val="24"/>
      <w:lang w:bidi="ar-SA" w:eastAsia="sk-SK" w:val="sk-SK"/>
    </w:rPr>
  </w:style>
  <w:style w:styleId="style1" w:type="paragraph">
    <w:name w:val="Nadpis 1"/>
    <w:basedOn w:val="style0"/>
    <w:next w:val="style51"/>
    <w:pPr>
      <w:spacing w:after="200" w:before="200"/>
    </w:pPr>
    <w:rPr>
      <w:rFonts w:ascii="Tahoma" w:cs="Tahoma" w:hAnsi="Tahoma"/>
      <w:b/>
      <w:bCs/>
      <w:color w:val="000079"/>
      <w:sz w:val="20"/>
      <w:szCs w:val="20"/>
    </w:rPr>
  </w:style>
  <w:style w:styleId="style2" w:type="paragraph">
    <w:name w:val="Nadpis 2"/>
    <w:basedOn w:val="style55"/>
    <w:next w:val="style51"/>
    <w:pPr>
      <w:numPr>
        <w:ilvl w:val="1"/>
        <w:numId w:val="1"/>
      </w:numPr>
      <w:outlineLvl w:val="1"/>
    </w:pPr>
    <w:rPr>
      <w:b/>
      <w:bCs/>
      <w:i/>
      <w:iCs/>
      <w:sz w:val="28"/>
      <w:szCs w:val="28"/>
    </w:rPr>
  </w:style>
  <w:style w:styleId="style15" w:type="character">
    <w:name w:val="WW8Num1z0"/>
    <w:next w:val="style15"/>
    <w:rPr>
      <w:rFonts w:ascii="Symbol" w:hAnsi="Symbol"/>
      <w:sz w:val="20"/>
    </w:rPr>
  </w:style>
  <w:style w:styleId="style16" w:type="character">
    <w:name w:val="WW8Num1z1"/>
    <w:next w:val="style16"/>
    <w:rPr>
      <w:rFonts w:ascii="Courier New" w:hAnsi="Courier New"/>
      <w:sz w:val="20"/>
    </w:rPr>
  </w:style>
  <w:style w:styleId="style17" w:type="character">
    <w:name w:val="WW8Num1z2"/>
    <w:next w:val="style17"/>
    <w:rPr>
      <w:rFonts w:ascii="Wingdings" w:hAnsi="Wingdings"/>
      <w:sz w:val="20"/>
    </w:rPr>
  </w:style>
  <w:style w:styleId="style18" w:type="character">
    <w:name w:val="WW8Num2z0"/>
    <w:next w:val="style18"/>
    <w:rPr>
      <w:rFonts w:ascii="Symbol" w:hAnsi="Symbol"/>
      <w:sz w:val="20"/>
    </w:rPr>
  </w:style>
  <w:style w:styleId="style19" w:type="character">
    <w:name w:val="WW8Num2z1"/>
    <w:next w:val="style19"/>
    <w:rPr>
      <w:rFonts w:ascii="Courier New" w:hAnsi="Courier New"/>
      <w:sz w:val="20"/>
    </w:rPr>
  </w:style>
  <w:style w:styleId="style20" w:type="character">
    <w:name w:val="WW8Num2z2"/>
    <w:next w:val="style20"/>
    <w:rPr>
      <w:rFonts w:ascii="Wingdings" w:hAnsi="Wingdings"/>
      <w:sz w:val="20"/>
    </w:rPr>
  </w:style>
  <w:style w:styleId="style21" w:type="character">
    <w:name w:val="WW8Num3z0"/>
    <w:next w:val="style21"/>
    <w:rPr>
      <w:rFonts w:ascii="Symbol" w:hAnsi="Symbol"/>
      <w:sz w:val="20"/>
    </w:rPr>
  </w:style>
  <w:style w:styleId="style22" w:type="character">
    <w:name w:val="WW8Num3z1"/>
    <w:next w:val="style22"/>
    <w:rPr>
      <w:rFonts w:ascii="Courier New" w:hAnsi="Courier New"/>
      <w:sz w:val="20"/>
    </w:rPr>
  </w:style>
  <w:style w:styleId="style23" w:type="character">
    <w:name w:val="WW8Num3z2"/>
    <w:next w:val="style23"/>
    <w:rPr>
      <w:rFonts w:ascii="Wingdings" w:hAnsi="Wingdings"/>
      <w:sz w:val="20"/>
    </w:rPr>
  </w:style>
  <w:style w:styleId="style24" w:type="character">
    <w:name w:val="WW8Num4z0"/>
    <w:next w:val="style24"/>
    <w:rPr>
      <w:rFonts w:ascii="Symbol" w:hAnsi="Symbol"/>
      <w:sz w:val="20"/>
    </w:rPr>
  </w:style>
  <w:style w:styleId="style25" w:type="character">
    <w:name w:val="WW8Num4z1"/>
    <w:next w:val="style25"/>
    <w:rPr>
      <w:rFonts w:ascii="Courier New" w:hAnsi="Courier New"/>
      <w:sz w:val="20"/>
    </w:rPr>
  </w:style>
  <w:style w:styleId="style26" w:type="character">
    <w:name w:val="WW8Num4z2"/>
    <w:next w:val="style26"/>
    <w:rPr>
      <w:rFonts w:ascii="Wingdings" w:hAnsi="Wingdings"/>
      <w:sz w:val="20"/>
    </w:rPr>
  </w:style>
  <w:style w:styleId="style27" w:type="character">
    <w:name w:val="WW8Num5z0"/>
    <w:next w:val="style27"/>
    <w:rPr>
      <w:rFonts w:ascii="Symbol" w:hAnsi="Symbol"/>
      <w:sz w:val="20"/>
    </w:rPr>
  </w:style>
  <w:style w:styleId="style28" w:type="character">
    <w:name w:val="WW8Num5z1"/>
    <w:next w:val="style28"/>
    <w:rPr>
      <w:rFonts w:ascii="Courier New" w:hAnsi="Courier New"/>
      <w:sz w:val="20"/>
    </w:rPr>
  </w:style>
  <w:style w:styleId="style29" w:type="character">
    <w:name w:val="WW8Num5z2"/>
    <w:next w:val="style29"/>
    <w:rPr>
      <w:rFonts w:ascii="Wingdings" w:hAnsi="Wingdings"/>
      <w:sz w:val="20"/>
    </w:rPr>
  </w:style>
  <w:style w:styleId="style30" w:type="character">
    <w:name w:val="WW8Num6z0"/>
    <w:next w:val="style30"/>
    <w:rPr>
      <w:rFonts w:ascii="Times New Roman" w:cs="Times New Roman" w:eastAsia="Times New Roman" w:hAnsi="Times New Roman"/>
    </w:rPr>
  </w:style>
  <w:style w:styleId="style31" w:type="character">
    <w:name w:val="WW8Num6z1"/>
    <w:next w:val="style31"/>
    <w:rPr>
      <w:rFonts w:ascii="Courier New" w:cs="Courier New" w:hAnsi="Courier New"/>
    </w:rPr>
  </w:style>
  <w:style w:styleId="style32" w:type="character">
    <w:name w:val="WW8Num6z2"/>
    <w:next w:val="style32"/>
    <w:rPr>
      <w:rFonts w:ascii="Wingdings" w:hAnsi="Wingdings"/>
    </w:rPr>
  </w:style>
  <w:style w:styleId="style33" w:type="character">
    <w:name w:val="WW8Num6z3"/>
    <w:next w:val="style33"/>
    <w:rPr>
      <w:rFonts w:ascii="Symbol" w:hAnsi="Symbol"/>
    </w:rPr>
  </w:style>
  <w:style w:styleId="style34" w:type="character">
    <w:name w:val="WW8NumSt1z0"/>
    <w:next w:val="style34"/>
    <w:rPr>
      <w:rFonts w:ascii="Wingdings" w:hAnsi="Wingdings"/>
      <w:sz w:val="20"/>
    </w:rPr>
  </w:style>
  <w:style w:styleId="style35" w:type="character">
    <w:name w:val="WW8NumSt2z0"/>
    <w:next w:val="style35"/>
    <w:rPr>
      <w:rFonts w:ascii="Wingdings" w:hAnsi="Wingdings"/>
      <w:sz w:val="20"/>
    </w:rPr>
  </w:style>
  <w:style w:styleId="style36" w:type="character">
    <w:name w:val="WW8NumSt3z0"/>
    <w:next w:val="style36"/>
    <w:rPr>
      <w:rFonts w:ascii="Wingdings" w:hAnsi="Wingdings"/>
      <w:sz w:val="20"/>
    </w:rPr>
  </w:style>
  <w:style w:styleId="style37" w:type="character">
    <w:name w:val="WW8NumSt4z0"/>
    <w:next w:val="style37"/>
    <w:rPr>
      <w:rFonts w:ascii="Wingdings" w:hAnsi="Wingdings"/>
      <w:sz w:val="20"/>
    </w:rPr>
  </w:style>
  <w:style w:styleId="style38" w:type="character">
    <w:name w:val="WW8NumSt5z0"/>
    <w:next w:val="style38"/>
    <w:rPr>
      <w:rFonts w:ascii="Wingdings" w:hAnsi="Wingdings"/>
      <w:sz w:val="20"/>
    </w:rPr>
  </w:style>
  <w:style w:styleId="style39" w:type="character">
    <w:name w:val="Predvolené písmo odseku"/>
    <w:next w:val="style39"/>
    <w:rPr/>
  </w:style>
  <w:style w:styleId="style40" w:type="character">
    <w:name w:val="Internetový odkaz"/>
    <w:basedOn w:val="style39"/>
    <w:next w:val="style40"/>
    <w:rPr>
      <w:color w:val="0000FF"/>
      <w:u w:val="single"/>
      <w:lang w:bidi="sk-SK" w:eastAsia="sk-SK" w:val="sk-SK"/>
    </w:rPr>
  </w:style>
  <w:style w:styleId="style41" w:type="character">
    <w:name w:val="Odrážky"/>
    <w:next w:val="style41"/>
    <w:rPr>
      <w:rFonts w:ascii="OpenSymbol" w:cs="OpenSymbol" w:eastAsia="OpenSymbol" w:hAnsi="OpenSymbol"/>
    </w:rPr>
  </w:style>
  <w:style w:styleId="style42" w:type="character">
    <w:name w:val="Symboly pre číslovanie"/>
    <w:next w:val="style42"/>
    <w:rPr>
      <w:sz w:val="20"/>
      <w:szCs w:val="20"/>
    </w:rPr>
  </w:style>
  <w:style w:styleId="style43" w:type="character">
    <w:name w:val="Navštívený internetový odkaz"/>
    <w:next w:val="style43"/>
    <w:rPr>
      <w:color w:val="800000"/>
      <w:u w:val="single"/>
      <w:lang w:bidi="sk-SK" w:eastAsia="sk-SK" w:val="sk-SK"/>
    </w:rPr>
  </w:style>
  <w:style w:styleId="style44" w:type="character">
    <w:name w:val="ListLabel 1"/>
    <w:next w:val="style44"/>
    <w:rPr>
      <w:rFonts w:cs="Times New Roman"/>
    </w:rPr>
  </w:style>
  <w:style w:styleId="style45" w:type="character">
    <w:name w:val="ListLabel 2"/>
    <w:next w:val="style45"/>
    <w:rPr>
      <w:sz w:val="20"/>
      <w:szCs w:val="20"/>
    </w:rPr>
  </w:style>
  <w:style w:styleId="style46" w:type="character">
    <w:name w:val="ListLabel 3"/>
    <w:next w:val="style46"/>
    <w:rPr>
      <w:rFonts w:cs="Symbol"/>
    </w:rPr>
  </w:style>
  <w:style w:styleId="style47" w:type="character">
    <w:name w:val="ListLabel 4"/>
    <w:next w:val="style47"/>
    <w:rPr>
      <w:rFonts w:cs="OpenSymbol"/>
    </w:rPr>
  </w:style>
  <w:style w:styleId="style48" w:type="character">
    <w:name w:val="ListLabel 5"/>
    <w:next w:val="style48"/>
    <w:rPr>
      <w:rFonts w:cs="Wingdings"/>
      <w:sz w:val="20"/>
    </w:rPr>
  </w:style>
  <w:style w:styleId="style49" w:type="character">
    <w:name w:val="ListLabel 6"/>
    <w:next w:val="style49"/>
    <w:rPr>
      <w:rFonts w:cs="Courier New"/>
      <w:sz w:val="20"/>
    </w:rPr>
  </w:style>
  <w:style w:styleId="style50" w:type="paragraph">
    <w:name w:val="Nadpis"/>
    <w:basedOn w:val="style0"/>
    <w:next w:val="style51"/>
    <w:pPr>
      <w:keepNext/>
      <w:spacing w:after="120" w:before="240"/>
    </w:pPr>
    <w:rPr>
      <w:rFonts w:ascii="Liberation Sans" w:cs="DejaVu Sans" w:eastAsia="DejaVu Sans" w:hAnsi="Liberation Sans"/>
      <w:sz w:val="28"/>
      <w:szCs w:val="28"/>
    </w:rPr>
  </w:style>
  <w:style w:styleId="style51" w:type="paragraph">
    <w:name w:val="Telo textu"/>
    <w:basedOn w:val="style0"/>
    <w:next w:val="style51"/>
    <w:pPr>
      <w:spacing w:after="120" w:before="0"/>
    </w:pPr>
    <w:rPr/>
  </w:style>
  <w:style w:styleId="style52" w:type="paragraph">
    <w:name w:val="Zoznam"/>
    <w:basedOn w:val="style51"/>
    <w:next w:val="style52"/>
    <w:pPr/>
    <w:rPr>
      <w:rFonts w:cs="Lohit Hindi"/>
    </w:rPr>
  </w:style>
  <w:style w:styleId="style53" w:type="paragraph">
    <w:name w:val="Popis"/>
    <w:basedOn w:val="style0"/>
    <w:next w:val="style53"/>
    <w:pPr>
      <w:suppressLineNumbers/>
      <w:spacing w:after="120" w:before="120"/>
    </w:pPr>
    <w:rPr>
      <w:rFonts w:cs="Lohit Hindi"/>
      <w:i/>
      <w:iCs/>
      <w:sz w:val="24"/>
      <w:szCs w:val="24"/>
    </w:rPr>
  </w:style>
  <w:style w:styleId="style54" w:type="paragraph">
    <w:name w:val="Index"/>
    <w:basedOn w:val="style0"/>
    <w:next w:val="style54"/>
    <w:pPr>
      <w:suppressLineNumbers/>
    </w:pPr>
    <w:rPr>
      <w:rFonts w:cs="Lohit Hindi"/>
    </w:rPr>
  </w:style>
  <w:style w:styleId="style55" w:type="paragraph">
    <w:name w:val="Názov"/>
    <w:basedOn w:val="style0"/>
    <w:next w:val="style56"/>
    <w:pPr>
      <w:keepNext/>
      <w:spacing w:after="120" w:before="240"/>
      <w:jc w:val="center"/>
    </w:pPr>
    <w:rPr>
      <w:rFonts w:ascii="Nimbus Sans L" w:cs="DejaVu Sans" w:eastAsia="DejaVu Sans" w:hAnsi="Nimbus Sans L"/>
      <w:b/>
      <w:bCs/>
      <w:sz w:val="28"/>
      <w:szCs w:val="28"/>
    </w:rPr>
  </w:style>
  <w:style w:styleId="style56" w:type="paragraph">
    <w:name w:val="Podnázov"/>
    <w:basedOn w:val="style50"/>
    <w:next w:val="style51"/>
    <w:pPr>
      <w:jc w:val="center"/>
    </w:pPr>
    <w:rPr>
      <w:i/>
      <w:iCs/>
      <w:sz w:val="28"/>
      <w:szCs w:val="28"/>
    </w:rPr>
  </w:style>
  <w:style w:styleId="style57" w:type="paragraph">
    <w:name w:val="Normálny (webový)"/>
    <w:basedOn w:val="style0"/>
    <w:next w:val="style57"/>
    <w:pPr>
      <w:spacing w:after="80" w:before="0"/>
    </w:pPr>
    <w:rPr>
      <w:rFonts w:ascii="Tahoma" w:cs="Tahoma" w:hAnsi="Tahoma"/>
      <w:sz w:val="16"/>
      <w:szCs w:val="16"/>
    </w:rPr>
  </w:style>
  <w:style w:styleId="style58" w:type="paragraph">
    <w:name w:val="Obsah tabuľky"/>
    <w:basedOn w:val="style0"/>
    <w:next w:val="style58"/>
    <w:pPr>
      <w:suppressLineNumbers/>
    </w:pPr>
    <w:rPr/>
  </w:style>
  <w:style w:styleId="style59" w:type="paragraph">
    <w:name w:val="Nadpis tabuľky"/>
    <w:basedOn w:val="style58"/>
    <w:next w:val="style59"/>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t.savba.sk/struktura.php"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13570</TotalTime>
  <Application>LibreOffice/3.5$Linux_x86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2005-01-11T16:27:00.00Z</dcterms:created>
  <dc:creator>dvurecen</dc:creator>
  <cp:lastModifiedBy>Marek Hyčko</cp:lastModifiedBy>
  <dcterms:modified xsi:type="dcterms:W3CDTF">2013-01-22T09:41:12.00Z</dcterms:modified>
  <cp:revision>32</cp:revision>
  <dc:title>Matematický  ústav SAV z pohľadu zákona č</dc:title>
</cp:coreProperties>
</file>